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adjustRightInd w:val="0"/>
        <w:snapToGrid w:val="0"/>
        <w:spacing w:line="600" w:lineRule="exact"/>
        <w:jc w:val="left"/>
        <w:rPr>
          <w:rFonts w:eastAsia="黑体"/>
          <w:sz w:val="32"/>
          <w:szCs w:val="32"/>
        </w:rPr>
      </w:pPr>
      <w:r>
        <w:rPr>
          <w:rFonts w:eastAsia="黑体"/>
          <w:sz w:val="32"/>
          <w:szCs w:val="32"/>
        </w:rPr>
        <w:t>附件</w:t>
      </w:r>
    </w:p>
    <w:p>
      <w:pPr>
        <w:adjustRightInd w:val="0"/>
        <w:snapToGrid w:val="0"/>
        <w:spacing w:line="580" w:lineRule="exact"/>
        <w:ind w:firstLine="640" w:firstLineChars="200"/>
        <w:jc w:val="left"/>
        <w:rPr>
          <w:rFonts w:eastAsia="仿宋"/>
          <w:sz w:val="32"/>
          <w:szCs w:val="32"/>
        </w:rPr>
      </w:pPr>
    </w:p>
    <w:p>
      <w:pPr>
        <w:adjustRightInd w:val="0"/>
        <w:snapToGrid w:val="0"/>
        <w:spacing w:line="580" w:lineRule="exact"/>
        <w:jc w:val="center"/>
        <w:rPr>
          <w:rFonts w:eastAsia="方正小标宋简体"/>
          <w:color w:val="000000"/>
          <w:sz w:val="44"/>
          <w:szCs w:val="44"/>
        </w:rPr>
      </w:pPr>
      <w:r>
        <w:rPr>
          <w:rFonts w:eastAsia="方正小标宋简体"/>
          <w:color w:val="000000"/>
          <w:sz w:val="44"/>
          <w:szCs w:val="44"/>
        </w:rPr>
        <w:t>化学药生物等效性试验备案范围和程序</w:t>
      </w:r>
    </w:p>
    <w:p>
      <w:pPr>
        <w:widowControl/>
        <w:adjustRightInd w:val="0"/>
        <w:snapToGrid w:val="0"/>
        <w:spacing w:line="580" w:lineRule="exact"/>
        <w:ind w:firstLine="880" w:firstLineChars="200"/>
        <w:jc w:val="center"/>
        <w:rPr>
          <w:rFonts w:eastAsia="方正小标宋简体"/>
          <w:color w:val="000000"/>
          <w:sz w:val="44"/>
          <w:szCs w:val="44"/>
        </w:rPr>
      </w:pPr>
    </w:p>
    <w:p>
      <w:pPr>
        <w:tabs>
          <w:tab w:val="left" w:pos="1134"/>
        </w:tabs>
        <w:snapToGrid w:val="0"/>
        <w:spacing w:line="580" w:lineRule="exact"/>
        <w:ind w:firstLine="640" w:firstLineChars="200"/>
        <w:rPr>
          <w:rFonts w:eastAsia="仿宋_GB2312"/>
          <w:kern w:val="0"/>
          <w:sz w:val="32"/>
          <w:szCs w:val="30"/>
        </w:rPr>
      </w:pPr>
      <w:r>
        <w:rPr>
          <w:rFonts w:eastAsia="黑体"/>
          <w:kern w:val="0"/>
          <w:sz w:val="32"/>
          <w:szCs w:val="30"/>
        </w:rPr>
        <w:t>一、备案范围</w:t>
      </w:r>
    </w:p>
    <w:p>
      <w:pPr>
        <w:tabs>
          <w:tab w:val="left" w:pos="1134"/>
        </w:tabs>
        <w:snapToGrid w:val="0"/>
        <w:spacing w:line="580" w:lineRule="exact"/>
        <w:ind w:firstLine="640" w:firstLineChars="200"/>
        <w:rPr>
          <w:rFonts w:eastAsia="仿宋_GB2312"/>
          <w:kern w:val="0"/>
          <w:sz w:val="32"/>
          <w:szCs w:val="30"/>
        </w:rPr>
      </w:pPr>
      <w:r>
        <w:rPr>
          <w:rFonts w:eastAsia="仿宋_GB2312"/>
          <w:kern w:val="0"/>
          <w:sz w:val="32"/>
          <w:szCs w:val="30"/>
        </w:rPr>
        <w:t>（一）属于下列情形的化学药，应当进行</w:t>
      </w:r>
      <w:r>
        <w:rPr>
          <w:rFonts w:eastAsia="仿宋_GB2312"/>
          <w:color w:val="000000"/>
          <w:sz w:val="32"/>
          <w:szCs w:val="32"/>
        </w:rPr>
        <w:t>BE</w:t>
      </w:r>
      <w:r>
        <w:rPr>
          <w:rFonts w:eastAsia="仿宋_GB2312"/>
          <w:kern w:val="0"/>
          <w:sz w:val="32"/>
          <w:szCs w:val="30"/>
        </w:rPr>
        <w:t>试验备案：</w:t>
      </w:r>
    </w:p>
    <w:p>
      <w:pPr>
        <w:adjustRightInd w:val="0"/>
        <w:snapToGrid w:val="0"/>
        <w:spacing w:line="580" w:lineRule="exact"/>
        <w:ind w:firstLine="640" w:firstLineChars="200"/>
        <w:rPr>
          <w:rFonts w:eastAsia="仿宋_GB2312"/>
          <w:kern w:val="0"/>
          <w:sz w:val="32"/>
          <w:szCs w:val="30"/>
        </w:rPr>
      </w:pPr>
      <w:r>
        <w:rPr>
          <w:rFonts w:eastAsia="仿宋_GB2312"/>
          <w:kern w:val="0"/>
          <w:sz w:val="32"/>
          <w:szCs w:val="30"/>
        </w:rPr>
        <w:t>1.仿制已上市的参比制剂，其活性成分、给药途径、剂型、规格应与参比制剂相一致。参比制剂应为原研药品。</w:t>
      </w:r>
    </w:p>
    <w:p>
      <w:pPr>
        <w:adjustRightInd w:val="0"/>
        <w:snapToGrid w:val="0"/>
        <w:spacing w:line="580" w:lineRule="exact"/>
        <w:ind w:firstLine="640" w:firstLineChars="200"/>
        <w:rPr>
          <w:rFonts w:eastAsia="仿宋_GB2312"/>
          <w:spacing w:val="-12"/>
          <w:kern w:val="0"/>
          <w:sz w:val="32"/>
          <w:szCs w:val="30"/>
        </w:rPr>
      </w:pPr>
      <w:r>
        <w:rPr>
          <w:rFonts w:eastAsia="仿宋_GB2312"/>
          <w:kern w:val="0"/>
          <w:sz w:val="32"/>
          <w:szCs w:val="30"/>
        </w:rPr>
        <w:t>2.已</w:t>
      </w:r>
      <w:r>
        <w:rPr>
          <w:rFonts w:eastAsia="仿宋_GB2312"/>
          <w:spacing w:val="-12"/>
          <w:kern w:val="0"/>
          <w:sz w:val="32"/>
          <w:szCs w:val="30"/>
        </w:rPr>
        <w:t>批准在境内上市，需通过</w:t>
      </w:r>
      <w:r>
        <w:rPr>
          <w:rFonts w:eastAsia="仿宋_GB2312"/>
          <w:color w:val="000000"/>
          <w:spacing w:val="-12"/>
          <w:sz w:val="32"/>
          <w:szCs w:val="32"/>
        </w:rPr>
        <w:t>BE</w:t>
      </w:r>
      <w:r>
        <w:rPr>
          <w:rFonts w:eastAsia="仿宋_GB2312"/>
          <w:spacing w:val="-12"/>
          <w:kern w:val="0"/>
          <w:sz w:val="32"/>
          <w:szCs w:val="30"/>
        </w:rPr>
        <w:t>试验开展相应变更研究的药品。</w:t>
      </w:r>
    </w:p>
    <w:p>
      <w:pPr>
        <w:adjustRightInd w:val="0"/>
        <w:snapToGrid w:val="0"/>
        <w:spacing w:line="580" w:lineRule="exact"/>
        <w:ind w:firstLine="640" w:firstLineChars="200"/>
        <w:rPr>
          <w:rFonts w:eastAsia="仿宋_GB2312"/>
          <w:spacing w:val="-4"/>
          <w:kern w:val="0"/>
          <w:sz w:val="32"/>
          <w:szCs w:val="30"/>
        </w:rPr>
      </w:pPr>
      <w:r>
        <w:rPr>
          <w:rFonts w:eastAsia="仿宋_GB2312"/>
          <w:kern w:val="0"/>
          <w:sz w:val="32"/>
          <w:szCs w:val="30"/>
        </w:rPr>
        <w:t>3.已在</w:t>
      </w:r>
      <w:r>
        <w:rPr>
          <w:rFonts w:eastAsia="仿宋_GB2312"/>
          <w:spacing w:val="-4"/>
          <w:kern w:val="0"/>
          <w:sz w:val="32"/>
          <w:szCs w:val="30"/>
        </w:rPr>
        <w:t>境内上市，需通过</w:t>
      </w:r>
      <w:r>
        <w:rPr>
          <w:rFonts w:eastAsia="仿宋_GB2312"/>
          <w:color w:val="000000"/>
          <w:spacing w:val="-4"/>
          <w:sz w:val="32"/>
          <w:szCs w:val="32"/>
        </w:rPr>
        <w:t>BE</w:t>
      </w:r>
      <w:r>
        <w:rPr>
          <w:rFonts w:eastAsia="仿宋_GB2312"/>
          <w:spacing w:val="-4"/>
          <w:kern w:val="0"/>
          <w:sz w:val="32"/>
          <w:szCs w:val="30"/>
        </w:rPr>
        <w:t>试验与参比制剂进行质量和疗效一致性评价的药品。参比制剂应为原研药或国际公认的仿制药。</w:t>
      </w:r>
    </w:p>
    <w:p>
      <w:pPr>
        <w:tabs>
          <w:tab w:val="left" w:pos="1134"/>
        </w:tabs>
        <w:snapToGrid w:val="0"/>
        <w:spacing w:line="580" w:lineRule="exact"/>
        <w:ind w:firstLine="640" w:firstLineChars="200"/>
        <w:rPr>
          <w:rFonts w:eastAsia="仿宋_GB2312"/>
          <w:kern w:val="0"/>
          <w:sz w:val="32"/>
          <w:szCs w:val="30"/>
        </w:rPr>
      </w:pPr>
      <w:r>
        <w:rPr>
          <w:rFonts w:eastAsia="仿宋_GB2312"/>
          <w:kern w:val="0"/>
          <w:sz w:val="32"/>
          <w:szCs w:val="30"/>
        </w:rPr>
        <w:t>（二）属于下列情形的化学药，如需开展</w:t>
      </w:r>
      <w:r>
        <w:rPr>
          <w:rFonts w:eastAsia="仿宋_GB2312"/>
          <w:color w:val="000000"/>
          <w:sz w:val="32"/>
          <w:szCs w:val="32"/>
        </w:rPr>
        <w:t>BE</w:t>
      </w:r>
      <w:r>
        <w:rPr>
          <w:rFonts w:eastAsia="仿宋_GB2312"/>
          <w:kern w:val="0"/>
          <w:sz w:val="32"/>
          <w:szCs w:val="30"/>
        </w:rPr>
        <w:t>试验，可按照《药品注册管理办法》的有关规定申报受理和审评审批。</w:t>
      </w:r>
    </w:p>
    <w:p>
      <w:pPr>
        <w:adjustRightInd w:val="0"/>
        <w:snapToGrid w:val="0"/>
        <w:spacing w:line="580" w:lineRule="exact"/>
        <w:ind w:firstLine="640" w:firstLineChars="200"/>
        <w:rPr>
          <w:rFonts w:eastAsia="仿宋_GB2312"/>
          <w:kern w:val="0"/>
          <w:sz w:val="32"/>
          <w:szCs w:val="30"/>
        </w:rPr>
      </w:pPr>
      <w:r>
        <w:rPr>
          <w:rFonts w:eastAsia="仿宋_GB2312"/>
          <w:kern w:val="0"/>
          <w:sz w:val="32"/>
          <w:szCs w:val="30"/>
        </w:rPr>
        <w:t>1.放射性药品、麻醉药品、第一类精神药品、第二类精神药品和药品类易制毒化学品；</w:t>
      </w:r>
    </w:p>
    <w:p>
      <w:pPr>
        <w:adjustRightInd w:val="0"/>
        <w:snapToGrid w:val="0"/>
        <w:spacing w:line="580" w:lineRule="exact"/>
        <w:ind w:firstLine="640" w:firstLineChars="200"/>
        <w:rPr>
          <w:rFonts w:eastAsia="仿宋_GB2312"/>
          <w:kern w:val="0"/>
          <w:sz w:val="32"/>
          <w:szCs w:val="30"/>
        </w:rPr>
      </w:pPr>
      <w:r>
        <w:rPr>
          <w:rFonts w:eastAsia="仿宋_GB2312"/>
          <w:kern w:val="0"/>
          <w:sz w:val="32"/>
          <w:szCs w:val="30"/>
        </w:rPr>
        <w:t>2.细胞毒类药品；</w:t>
      </w:r>
    </w:p>
    <w:p>
      <w:pPr>
        <w:snapToGrid w:val="0"/>
        <w:spacing w:line="580" w:lineRule="exact"/>
        <w:ind w:firstLine="640" w:firstLineChars="200"/>
        <w:rPr>
          <w:rFonts w:eastAsia="仿宋_GB2312"/>
          <w:spacing w:val="-10"/>
          <w:sz w:val="32"/>
          <w:szCs w:val="30"/>
        </w:rPr>
      </w:pPr>
      <w:r>
        <w:rPr>
          <w:rFonts w:eastAsia="仿宋_GB2312"/>
          <w:kern w:val="0"/>
          <w:sz w:val="32"/>
          <w:szCs w:val="30"/>
        </w:rPr>
        <w:t>3.不</w:t>
      </w:r>
      <w:r>
        <w:rPr>
          <w:rFonts w:eastAsia="仿宋_GB2312"/>
          <w:spacing w:val="-10"/>
          <w:kern w:val="0"/>
          <w:sz w:val="32"/>
          <w:szCs w:val="30"/>
        </w:rPr>
        <w:t>适用</w:t>
      </w:r>
      <w:r>
        <w:rPr>
          <w:rFonts w:eastAsia="仿宋_GB2312"/>
          <w:color w:val="000000"/>
          <w:spacing w:val="-10"/>
          <w:sz w:val="32"/>
          <w:szCs w:val="32"/>
        </w:rPr>
        <w:t>BE</w:t>
      </w:r>
      <w:r>
        <w:rPr>
          <w:rFonts w:eastAsia="仿宋_GB2312"/>
          <w:spacing w:val="-10"/>
          <w:kern w:val="0"/>
          <w:sz w:val="32"/>
          <w:szCs w:val="30"/>
        </w:rPr>
        <w:t>试验方法验证与参比制剂质量和疗效一</w:t>
      </w:r>
      <w:r>
        <w:rPr>
          <w:rFonts w:eastAsia="仿宋_GB2312"/>
          <w:spacing w:val="-10"/>
          <w:sz w:val="32"/>
          <w:szCs w:val="30"/>
        </w:rPr>
        <w:t>致的药品；</w:t>
      </w:r>
    </w:p>
    <w:p>
      <w:pPr>
        <w:adjustRightInd w:val="0"/>
        <w:snapToGrid w:val="0"/>
        <w:spacing w:line="580" w:lineRule="exact"/>
        <w:ind w:firstLine="640" w:firstLineChars="200"/>
        <w:rPr>
          <w:rFonts w:eastAsia="仿宋_GB2312"/>
          <w:kern w:val="0"/>
          <w:sz w:val="32"/>
          <w:szCs w:val="30"/>
        </w:rPr>
      </w:pPr>
      <w:r>
        <w:rPr>
          <w:rFonts w:eastAsia="仿宋_GB2312"/>
          <w:sz w:val="32"/>
          <w:szCs w:val="30"/>
        </w:rPr>
        <w:t>4.不以</w:t>
      </w:r>
      <w:r>
        <w:rPr>
          <w:rFonts w:eastAsia="仿宋_GB2312"/>
          <w:kern w:val="0"/>
          <w:sz w:val="32"/>
          <w:szCs w:val="30"/>
        </w:rPr>
        <w:t>境内注册申请或仿制药质量和疗效一致性评价为目的进行</w:t>
      </w:r>
      <w:r>
        <w:rPr>
          <w:rFonts w:eastAsia="仿宋_GB2312"/>
          <w:color w:val="000000"/>
          <w:sz w:val="32"/>
          <w:szCs w:val="32"/>
        </w:rPr>
        <w:t>BE</w:t>
      </w:r>
      <w:r>
        <w:rPr>
          <w:rFonts w:eastAsia="仿宋_GB2312"/>
          <w:kern w:val="0"/>
          <w:sz w:val="32"/>
          <w:szCs w:val="30"/>
        </w:rPr>
        <w:t>试验药品；</w:t>
      </w:r>
    </w:p>
    <w:p>
      <w:pPr>
        <w:adjustRightInd w:val="0"/>
        <w:snapToGrid w:val="0"/>
        <w:spacing w:line="580" w:lineRule="exact"/>
        <w:ind w:firstLine="640" w:firstLineChars="200"/>
        <w:rPr>
          <w:rFonts w:eastAsia="仿宋_GB2312"/>
          <w:kern w:val="0"/>
          <w:sz w:val="32"/>
          <w:szCs w:val="30"/>
        </w:rPr>
      </w:pPr>
      <w:r>
        <w:rPr>
          <w:rFonts w:eastAsia="仿宋_GB2312"/>
          <w:kern w:val="0"/>
          <w:sz w:val="32"/>
          <w:szCs w:val="30"/>
        </w:rPr>
        <w:t>5.注册申请人认为</w:t>
      </w:r>
      <w:r>
        <w:rPr>
          <w:rFonts w:eastAsia="仿宋_GB2312"/>
          <w:color w:val="000000"/>
          <w:sz w:val="32"/>
          <w:szCs w:val="32"/>
        </w:rPr>
        <w:t>BE</w:t>
      </w:r>
      <w:r>
        <w:rPr>
          <w:rFonts w:eastAsia="仿宋_GB2312"/>
          <w:kern w:val="0"/>
          <w:sz w:val="32"/>
          <w:szCs w:val="30"/>
        </w:rPr>
        <w:t>试验可能潜在安全性风险需要进行技术评价的药品。</w:t>
      </w:r>
    </w:p>
    <w:p>
      <w:pPr>
        <w:adjustRightInd w:val="0"/>
        <w:snapToGrid w:val="0"/>
        <w:spacing w:line="580" w:lineRule="exact"/>
        <w:ind w:firstLine="640" w:firstLineChars="200"/>
        <w:rPr>
          <w:rFonts w:ascii="黑体" w:hAnsi="黑体" w:eastAsia="黑体"/>
          <w:sz w:val="32"/>
          <w:szCs w:val="30"/>
        </w:rPr>
      </w:pPr>
      <w:r>
        <w:rPr>
          <w:rFonts w:ascii="黑体" w:hAnsi="黑体" w:eastAsia="黑体"/>
          <w:sz w:val="32"/>
          <w:szCs w:val="30"/>
        </w:rPr>
        <w:t>二、备案程序</w:t>
      </w:r>
    </w:p>
    <w:p>
      <w:pPr>
        <w:tabs>
          <w:tab w:val="left" w:pos="1134"/>
        </w:tabs>
        <w:adjustRightInd w:val="0"/>
        <w:snapToGrid w:val="0"/>
        <w:spacing w:line="580" w:lineRule="exact"/>
        <w:ind w:firstLine="640" w:firstLineChars="200"/>
        <w:rPr>
          <w:rFonts w:eastAsia="仿宋_GB2312"/>
          <w:kern w:val="0"/>
          <w:sz w:val="32"/>
          <w:szCs w:val="30"/>
        </w:rPr>
      </w:pPr>
      <w:r>
        <w:rPr>
          <w:rFonts w:eastAsia="仿宋_GB2312"/>
          <w:kern w:val="0"/>
          <w:sz w:val="32"/>
          <w:szCs w:val="30"/>
        </w:rPr>
        <w:t>（一）注册申请人向具有资质的药物临床试验机构提出申请，获得该机构伦理委员会的批准，并签署</w:t>
      </w:r>
      <w:r>
        <w:rPr>
          <w:rFonts w:eastAsia="仿宋_GB2312"/>
          <w:color w:val="000000"/>
          <w:sz w:val="32"/>
          <w:szCs w:val="32"/>
        </w:rPr>
        <w:t>BE</w:t>
      </w:r>
      <w:bookmarkStart w:id="0" w:name="_GoBack"/>
      <w:r>
        <w:rPr>
          <w:rFonts w:eastAsia="仿宋_GB2312"/>
          <w:kern w:val="0"/>
          <w:sz w:val="32"/>
          <w:szCs w:val="30"/>
        </w:rPr>
        <w:t>试验合同</w:t>
      </w:r>
      <w:bookmarkEnd w:id="0"/>
      <w:r>
        <w:rPr>
          <w:rFonts w:eastAsia="仿宋_GB2312"/>
          <w:kern w:val="0"/>
          <w:sz w:val="32"/>
          <w:szCs w:val="30"/>
        </w:rPr>
        <w:t>。</w:t>
      </w:r>
    </w:p>
    <w:p>
      <w:pPr>
        <w:adjustRightInd w:val="0"/>
        <w:snapToGrid w:val="0"/>
        <w:spacing w:line="580" w:lineRule="exact"/>
        <w:ind w:firstLine="640" w:firstLineChars="200"/>
        <w:rPr>
          <w:rFonts w:eastAsia="仿宋_GB2312"/>
          <w:color w:val="000000"/>
          <w:sz w:val="32"/>
          <w:szCs w:val="32"/>
        </w:rPr>
      </w:pPr>
      <w:r>
        <w:rPr>
          <w:rFonts w:eastAsia="仿宋_GB2312"/>
          <w:kern w:val="0"/>
          <w:sz w:val="32"/>
          <w:szCs w:val="30"/>
        </w:rPr>
        <w:t>（二）注册申请人开展生物等效性试验前30天，应当在国家食品药品监督管理总局指定的</w:t>
      </w:r>
      <w:r>
        <w:rPr>
          <w:rFonts w:eastAsia="仿宋_GB2312"/>
          <w:color w:val="000000"/>
          <w:sz w:val="32"/>
          <w:szCs w:val="32"/>
        </w:rPr>
        <w:t>化学药BE试验备案信息平台</w:t>
      </w:r>
      <w:r>
        <w:rPr>
          <w:rFonts w:eastAsia="仿宋_GB2312"/>
          <w:kern w:val="0"/>
          <w:sz w:val="32"/>
          <w:szCs w:val="30"/>
        </w:rPr>
        <w:t>进行化学药</w:t>
      </w:r>
      <w:r>
        <w:rPr>
          <w:rFonts w:eastAsia="仿宋_GB2312"/>
          <w:color w:val="000000"/>
          <w:sz w:val="32"/>
          <w:szCs w:val="32"/>
        </w:rPr>
        <w:t>BE</w:t>
      </w:r>
      <w:r>
        <w:rPr>
          <w:rFonts w:eastAsia="仿宋_GB2312"/>
          <w:kern w:val="0"/>
          <w:sz w:val="32"/>
          <w:szCs w:val="30"/>
        </w:rPr>
        <w:t>试验备案，按要求提交备案资料。</w:t>
      </w:r>
      <w:r>
        <w:rPr>
          <w:rFonts w:eastAsia="仿宋_GB2312"/>
          <w:color w:val="000000"/>
          <w:sz w:val="32"/>
          <w:szCs w:val="32"/>
        </w:rPr>
        <w:t xml:space="preserve"> </w:t>
      </w:r>
    </w:p>
    <w:p>
      <w:pPr>
        <w:adjustRightInd w:val="0"/>
        <w:snapToGrid w:val="0"/>
        <w:spacing w:line="580" w:lineRule="exact"/>
        <w:ind w:firstLine="640" w:firstLineChars="200"/>
        <w:rPr>
          <w:rFonts w:eastAsia="仿宋_GB2312"/>
          <w:kern w:val="0"/>
          <w:sz w:val="32"/>
          <w:szCs w:val="30"/>
        </w:rPr>
      </w:pPr>
      <w:r>
        <w:rPr>
          <w:rFonts w:eastAsia="仿宋_GB2312"/>
          <w:kern w:val="0"/>
          <w:sz w:val="32"/>
          <w:szCs w:val="30"/>
        </w:rPr>
        <w:t>（三）备案资料主要包括注册申请人信息、产品基本信息、处方工艺、质量研究和质量标准、参比制剂基本信息、稳定性研究、原料药、试验方案设计、伦理委员会批准证明文件等。</w:t>
      </w:r>
    </w:p>
    <w:p>
      <w:pPr>
        <w:tabs>
          <w:tab w:val="left" w:pos="1134"/>
        </w:tabs>
        <w:adjustRightInd w:val="0"/>
        <w:snapToGrid w:val="0"/>
        <w:spacing w:line="580" w:lineRule="exact"/>
        <w:ind w:firstLine="640" w:firstLineChars="200"/>
        <w:rPr>
          <w:rFonts w:eastAsia="仿宋_GB2312"/>
          <w:kern w:val="0"/>
          <w:sz w:val="32"/>
          <w:szCs w:val="30"/>
        </w:rPr>
      </w:pPr>
      <w:r>
        <w:rPr>
          <w:rFonts w:eastAsia="仿宋_GB2312"/>
          <w:kern w:val="0"/>
          <w:sz w:val="32"/>
          <w:szCs w:val="30"/>
        </w:rPr>
        <w:t>（四）注册申请人</w:t>
      </w:r>
      <w:r>
        <w:rPr>
          <w:rFonts w:eastAsia="仿宋_GB2312"/>
          <w:color w:val="000000"/>
          <w:sz w:val="32"/>
          <w:szCs w:val="32"/>
        </w:rPr>
        <w:t>BE</w:t>
      </w:r>
      <w:r>
        <w:rPr>
          <w:rFonts w:eastAsia="仿宋_GB2312"/>
          <w:kern w:val="0"/>
          <w:sz w:val="32"/>
          <w:szCs w:val="30"/>
        </w:rPr>
        <w:t>试验的参比制剂及各参与方的基本信息等向社会公开。</w:t>
      </w:r>
    </w:p>
    <w:p>
      <w:pPr>
        <w:tabs>
          <w:tab w:val="left" w:pos="1134"/>
        </w:tabs>
        <w:adjustRightInd w:val="0"/>
        <w:snapToGrid w:val="0"/>
        <w:spacing w:line="580" w:lineRule="exact"/>
        <w:ind w:firstLine="640" w:firstLineChars="200"/>
        <w:rPr>
          <w:rFonts w:eastAsia="仿宋_GB2312"/>
          <w:color w:val="000000"/>
          <w:kern w:val="0"/>
          <w:sz w:val="32"/>
          <w:szCs w:val="30"/>
        </w:rPr>
      </w:pPr>
      <w:r>
        <w:rPr>
          <w:rFonts w:eastAsia="仿宋_GB2312"/>
          <w:kern w:val="0"/>
          <w:sz w:val="32"/>
          <w:szCs w:val="30"/>
        </w:rPr>
        <w:t>（五）注册申请人在获得备案号后，应在第1例受试者入组前在国家食品药品监督管理总局药物临床试验登记与信息公示平台完成开展试验前的所有信息登记，并由国家食品药品监督管理总局向社会公示；1年内未提交受试者入组试验信息的，注册申请人须说明情况；2年内未提交受试者入组试验信息的，所获得备案号自行失效。</w:t>
      </w:r>
    </w:p>
    <w:p>
      <w:pPr>
        <w:tabs>
          <w:tab w:val="left" w:pos="6480"/>
        </w:tabs>
        <w:adjustRightInd w:val="0"/>
        <w:snapToGrid w:val="0"/>
        <w:spacing w:line="580" w:lineRule="exact"/>
        <w:ind w:firstLine="640" w:firstLineChars="200"/>
        <w:rPr>
          <w:rFonts w:eastAsia="仿宋_GB2312"/>
          <w:kern w:val="0"/>
          <w:sz w:val="32"/>
          <w:szCs w:val="30"/>
        </w:rPr>
      </w:pPr>
      <w:r>
        <w:rPr>
          <w:rFonts w:eastAsia="仿宋_GB2312"/>
          <w:kern w:val="0"/>
          <w:sz w:val="32"/>
          <w:szCs w:val="30"/>
        </w:rPr>
        <w:t>（六）注册申请人应严格执行《药物临床试验质量管理规范》（</w:t>
      </w:r>
      <w:r>
        <w:rPr>
          <w:rFonts w:eastAsia="仿宋_GB2312"/>
          <w:color w:val="000000"/>
          <w:sz w:val="32"/>
          <w:szCs w:val="32"/>
        </w:rPr>
        <w:t>GCP</w:t>
      </w:r>
      <w:r>
        <w:rPr>
          <w:rFonts w:eastAsia="仿宋_GB2312"/>
          <w:kern w:val="0"/>
          <w:sz w:val="32"/>
          <w:szCs w:val="30"/>
        </w:rPr>
        <w:t>），按照试验方案开展</w:t>
      </w:r>
      <w:r>
        <w:rPr>
          <w:rFonts w:eastAsia="仿宋_GB2312"/>
          <w:color w:val="000000"/>
          <w:sz w:val="32"/>
          <w:szCs w:val="32"/>
        </w:rPr>
        <w:t>BE</w:t>
      </w:r>
      <w:r>
        <w:rPr>
          <w:rFonts w:eastAsia="仿宋_GB2312"/>
          <w:kern w:val="0"/>
          <w:sz w:val="32"/>
          <w:szCs w:val="30"/>
        </w:rPr>
        <w:t>试验。</w:t>
      </w:r>
      <w:r>
        <w:rPr>
          <w:rFonts w:eastAsia="仿宋_GB2312"/>
          <w:color w:val="000000"/>
          <w:sz w:val="32"/>
          <w:szCs w:val="32"/>
        </w:rPr>
        <w:t>BE</w:t>
      </w:r>
      <w:r>
        <w:rPr>
          <w:rFonts w:eastAsia="仿宋_GB2312"/>
          <w:kern w:val="0"/>
          <w:sz w:val="32"/>
          <w:szCs w:val="30"/>
        </w:rPr>
        <w:t>试验过程中，参比制剂、原料药、制剂处方、工艺等发生变更，注册申请人应停止试验，通过备案平台提交试验中止的申请，国家食品药品监督管理总局将公示其中止试验。注册申请人根据变更情况，向国家食品药品监督管理总局提交备案变更资料，生成新的备案号后重新开展</w:t>
      </w:r>
      <w:r>
        <w:rPr>
          <w:rFonts w:eastAsia="仿宋_GB2312"/>
          <w:color w:val="000000"/>
          <w:sz w:val="32"/>
          <w:szCs w:val="32"/>
        </w:rPr>
        <w:t>BE</w:t>
      </w:r>
      <w:r>
        <w:rPr>
          <w:rFonts w:eastAsia="仿宋_GB2312"/>
          <w:kern w:val="0"/>
          <w:sz w:val="32"/>
          <w:szCs w:val="30"/>
        </w:rPr>
        <w:t>试验。</w:t>
      </w:r>
    </w:p>
    <w:p>
      <w:pPr>
        <w:tabs>
          <w:tab w:val="left" w:pos="6480"/>
        </w:tabs>
        <w:adjustRightInd w:val="0"/>
        <w:snapToGrid w:val="0"/>
        <w:spacing w:line="580" w:lineRule="exact"/>
        <w:ind w:firstLine="640" w:firstLineChars="200"/>
        <w:rPr>
          <w:rFonts w:eastAsia="仿宋_GB2312"/>
          <w:kern w:val="0"/>
          <w:sz w:val="32"/>
          <w:szCs w:val="30"/>
        </w:rPr>
      </w:pPr>
      <w:r>
        <w:rPr>
          <w:rFonts w:eastAsia="仿宋_GB2312"/>
          <w:kern w:val="0"/>
          <w:sz w:val="32"/>
          <w:szCs w:val="30"/>
        </w:rPr>
        <w:t>（七）注册申请人应当在</w:t>
      </w:r>
      <w:r>
        <w:rPr>
          <w:rFonts w:eastAsia="仿宋_GB2312"/>
          <w:color w:val="000000"/>
          <w:sz w:val="32"/>
          <w:szCs w:val="32"/>
        </w:rPr>
        <w:t>BE</w:t>
      </w:r>
      <w:r>
        <w:rPr>
          <w:rFonts w:eastAsia="仿宋_GB2312"/>
          <w:kern w:val="0"/>
          <w:sz w:val="32"/>
          <w:szCs w:val="30"/>
        </w:rPr>
        <w:t>试验完成或因故终止一年内，在备案平台提交</w:t>
      </w:r>
      <w:r>
        <w:rPr>
          <w:rFonts w:eastAsia="仿宋_GB2312"/>
          <w:color w:val="000000"/>
          <w:sz w:val="32"/>
          <w:szCs w:val="32"/>
        </w:rPr>
        <w:t>BE</w:t>
      </w:r>
      <w:r>
        <w:rPr>
          <w:rFonts w:eastAsia="仿宋_GB2312"/>
          <w:kern w:val="0"/>
          <w:sz w:val="32"/>
          <w:szCs w:val="30"/>
        </w:rPr>
        <w:t>试验的总结报告或情况说明。</w:t>
      </w:r>
    </w:p>
    <w:p>
      <w:pPr>
        <w:tabs>
          <w:tab w:val="left" w:pos="6480"/>
        </w:tabs>
        <w:adjustRightInd w:val="0"/>
        <w:snapToGrid w:val="0"/>
        <w:spacing w:line="580" w:lineRule="exact"/>
        <w:ind w:firstLine="640" w:firstLineChars="200"/>
        <w:rPr>
          <w:rFonts w:eastAsia="仿宋_GB2312"/>
          <w:kern w:val="0"/>
          <w:sz w:val="32"/>
          <w:szCs w:val="30"/>
        </w:rPr>
      </w:pPr>
      <w:r>
        <w:rPr>
          <w:rFonts w:eastAsia="仿宋_GB2312"/>
          <w:kern w:val="0"/>
          <w:sz w:val="32"/>
          <w:szCs w:val="30"/>
        </w:rPr>
        <w:t>（八）注册申请人完成</w:t>
      </w:r>
      <w:r>
        <w:rPr>
          <w:rFonts w:eastAsia="仿宋_GB2312"/>
          <w:color w:val="000000"/>
          <w:sz w:val="32"/>
          <w:szCs w:val="32"/>
        </w:rPr>
        <w:t>BE</w:t>
      </w:r>
      <w:r>
        <w:rPr>
          <w:rFonts w:eastAsia="仿宋_GB2312"/>
          <w:kern w:val="0"/>
          <w:sz w:val="32"/>
          <w:szCs w:val="30"/>
        </w:rPr>
        <w:t>试验后，应将试验数据申报资料、备案信息及变更情况提交国家食品药品监督管理总局，在此基础上提出相应药品注册申请。注册申请人要承诺其注册申请资料及数据的真实、完整、规范。</w:t>
      </w:r>
    </w:p>
    <w:p>
      <w:pPr/>
      <w:r>
        <w:rPr>
          <w:rFonts w:eastAsia="仿宋_GB2312"/>
          <w:kern w:val="0"/>
          <w:sz w:val="32"/>
          <w:szCs w:val="30"/>
        </w:rPr>
        <w:t>（九）未按本公告规定备案而开展的BE试验，国家食品药品监督管理总局不受理其注册申请。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F96"/>
    <w:rsid w:val="00045FDE"/>
    <w:rsid w:val="001E0907"/>
    <w:rsid w:val="002F3156"/>
    <w:rsid w:val="0048156F"/>
    <w:rsid w:val="00486F96"/>
    <w:rsid w:val="11E20F5D"/>
    <w:rsid w:val="37AE2AE9"/>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173</Words>
  <Characters>991</Characters>
  <Lines>8</Lines>
  <Paragraphs>2</Paragraphs>
  <TotalTime>0</TotalTime>
  <ScaleCrop>false</ScaleCrop>
  <LinksUpToDate>false</LinksUpToDate>
  <CharactersWithSpaces>1162</CharactersWithSpaces>
  <Application>WPS Office_10.1.0.5346_F1E327BC-269C-435d-A152-05C5408002CA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2015-12-01T13:55:00Z</dcterms:created>
  <dc:creator>王全</dc:creator>
  <cp:lastModifiedBy>李桂桂</cp:lastModifiedBy>
  <dcterms:modified xsi:type="dcterms:W3CDTF">2015-12-02T01:09:02Z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