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 ?>
<Relationships xmlns="http://schemas.openxmlformats.org/package/2006/relationships">
    <Relationship Id="rId3" Type="http://schemas.openxmlformats.org/officeDocument/2006/relationships/extended-properties" Target="docProps/app.xml" />
    <Relationship Id="rId2" Type="http://schemas.openxmlformats.org/package/2006/relationships/metadata/core-properties" Target="docProps/core.xml" />
    <Relationship Id="rId1" Type="http://schemas.openxmlformats.org/officeDocument/2006/relationships/officeDocument" Target="word/document.xml"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1" w:name="1"/>
    <w:bookmarkEnd w:id="1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329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39"/>
          <w:pgMar w:top="1433" w:right="943" w:bottom="1193" w:left="1303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21" w:lineRule="exact"/>
        <w:ind w:left="228" w:firstLine="0"/>
        <w:jc w:val="left"/>
        <w:rPr/>
      </w:pPr>
      <w:r>
        <w:rPr>
          <w:noProof/>
        </w:rPr>
        <w:pict>
          <v:shape id="imagerId6" type="#_x0000_t75" style="position:absolute;margin-left:88pt;margin-top:153pt;width:441pt;height:26pt;z-index:-251658077;mso-position-horizontal-relative:page;mso-position-vertical-relative:page">
            <v:imagedata r:id="rId6" o:title=""/>
          </v:shape>
        </w:pict>
      </w:r>
      <w:r>
        <w:rPr>
          <w:rFonts w:ascii="黑体" w:eastAsia="黑体" w:hAnsi="黑体" w:cs="黑体"/>
          <w:u w:val="none"/>
          <w:sz w:val="32"/>
          <w:position w:val="0"/>
          <w:color w:val="000000"/>
          <w:noProof w:val="true"/>
          <w:spacing w:val="-5"/>
          <w:w w:val="100"/>
        </w:rPr>
        <w:t>附件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39"/>
          <w:pgMar w:top="1433" w:right="943" w:bottom="1193" w:left="1303" w:header="0" w:footer="0" w:gutter="0"/>
          <w:cols w:num="1" w:equalWidth="0">
            <w:col w:w="9657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40"/>
        <w:ind w:left="228" w:firstLine="0"/>
        <w:rPr/>
      </w:pPr>
    </w:p>
    <w:p w:rsidR="005A76FB" w:rsidRDefault="005A76FB" w:rsidP="005A76FB">
      <w:pPr>
        <w:spacing w:before="0" w:after="0" w:lineRule="exact" w:line="240"/>
        <w:ind w:left="228" w:firstLine="0"/>
        <w:rPr/>
      </w:pPr>
    </w:p>
    <w:p w:rsidR="005A76FB" w:rsidRDefault="005A76FB" w:rsidP="005A76FB">
      <w:pPr>
        <w:spacing w:before="0" w:after="0" w:lineRule="exact" w:line="240"/>
        <w:ind w:left="228" w:firstLine="0"/>
        <w:rPr/>
      </w:pPr>
    </w:p>
    <w:p w:rsidR="005A76FB" w:rsidRDefault="005A76FB" w:rsidP="005A76FB">
      <w:pPr>
        <w:spacing w:before="0" w:after="0" w:lineRule="exact" w:line="240"/>
        <w:ind w:left="228" w:firstLine="0"/>
        <w:rPr/>
      </w:pPr>
    </w:p>
    <w:p w:rsidR="005A76FB" w:rsidRDefault="005A76FB" w:rsidP="005A76FB">
      <w:pPr>
        <w:spacing w:before="0" w:after="0" w:lineRule="exact" w:line="240"/>
        <w:ind w:left="228" w:firstLine="0"/>
        <w:rPr/>
      </w:pPr>
    </w:p>
    <w:p w:rsidR="005A76FB" w:rsidRDefault="005A76FB" w:rsidP="005A76FB">
      <w:pPr>
        <w:spacing w:before="0" w:after="0" w:lineRule="exact" w:line="240"/>
        <w:ind w:left="228" w:firstLine="0"/>
        <w:rPr/>
      </w:pPr>
    </w:p>
    <w:p w:rsidR="005A76FB" w:rsidRDefault="005A76FB" w:rsidP="005A76FB">
      <w:pPr>
        <w:spacing w:before="0" w:after="0" w:lineRule="exact" w:line="240"/>
        <w:ind w:left="228" w:firstLine="0"/>
        <w:rPr/>
      </w:pPr>
    </w:p>
    <w:p w:rsidR="005A76FB" w:rsidRDefault="005A76FB" w:rsidP="005A76FB">
      <w:pPr>
        <w:spacing w:before="0" w:after="0" w:lineRule="exact" w:line="268"/>
        <w:ind w:left="228" w:firstLine="0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39"/>
          <w:pgMar w:top="1433" w:right="943" w:bottom="1193" w:left="1303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21" w:lineRule="exact"/>
        <w:ind w:firstLine="639" w:left="228"/>
        <w:jc w:val="left"/>
        <w:rPr/>
      </w:pPr>
      <w:r>
        <w:rPr>
          <w:rFonts w:ascii="黑体" w:hAnsi="黑体" w:cs="黑体"/>
          <w:u w:val="none"/>
          <w:sz w:val="32"/>
          <w:position w:val="0"/>
          <w:color w:val="000000"/>
          <w:noProof w:val="true"/>
          <w:spacing w:val="-5"/>
          <w:w w:val="100"/>
        </w:rPr>
        <w:t>一、范围</w:t>
      </w:r>
    </w:p>
    <w:p w:rsidR="005A76FB" w:rsidRDefault="005A76FB" w:rsidP="005A76FB">
      <w:pPr>
        <w:spacing w:before="0" w:after="0" w:line="436" w:lineRule="exact"/>
        <w:ind w:firstLine="639" w:left="228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本</w:t>
      </w: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3"/>
          <w:w w:val="100"/>
        </w:rPr>
        <w:t>指导</w:t>
      </w: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3"/>
          <w:w w:val="100"/>
        </w:rPr>
        <w:t>原则</w:t>
      </w: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2"/>
          <w:w w:val="100"/>
        </w:rPr>
        <w:t>适用于</w:t>
      </w: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3"/>
          <w:w w:val="100"/>
        </w:rPr>
        <w:t>指导</w:t>
      </w: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3"/>
          <w:w w:val="100"/>
        </w:rPr>
        <w:t>药品</w:t>
      </w: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2"/>
          <w:w w:val="100"/>
        </w:rPr>
        <w:t>在中华</w:t>
      </w: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3"/>
          <w:w w:val="100"/>
        </w:rPr>
        <w:t>人民</w:t>
      </w: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3"/>
          <w:w w:val="100"/>
        </w:rPr>
        <w:t>共和</w:t>
      </w: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2"/>
          <w:w w:val="100"/>
        </w:rPr>
        <w:t>国境内</w:t>
      </w: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3"/>
          <w:w w:val="100"/>
        </w:rPr>
        <w:t>申报</w:t>
      </w: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注</w:t>
      </w:r>
    </w:p>
    <w:p w:rsidR="005A76FB" w:rsidRDefault="005A76FB" w:rsidP="005A76FB">
      <w:pPr>
        <w:spacing w:before="0" w:after="0" w:line="441" w:lineRule="exact"/>
        <w:ind w:firstLine="0" w:left="228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册时，接受申请人采用境外临床试验数据作为临床评价资料的工</w:t>
      </w:r>
    </w:p>
    <w:p w:rsidR="005A76FB" w:rsidRDefault="005A76FB" w:rsidP="005A76FB">
      <w:pPr>
        <w:spacing w:before="0" w:after="0" w:line="442" w:lineRule="exact"/>
        <w:ind w:firstLine="0" w:left="228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作。</w:t>
      </w:r>
    </w:p>
    <w:p w:rsidR="005A76FB" w:rsidRDefault="005A76FB" w:rsidP="005A76FB">
      <w:pPr>
        <w:spacing w:before="0" w:after="0" w:line="436" w:lineRule="exact"/>
        <w:ind w:firstLine="639" w:left="228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本指导原则所涉及的境外临床试验数据，包括但不限于申请</w:t>
      </w:r>
    </w:p>
    <w:p w:rsidR="005A76FB" w:rsidRDefault="005A76FB" w:rsidP="005A76FB">
      <w:pPr>
        <w:spacing w:before="0" w:after="0" w:line="441" w:lineRule="exact"/>
        <w:ind w:firstLine="0" w:left="228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人通过创新药的境内外同步研发在境外获得的临床试验数据。在</w:t>
      </w:r>
    </w:p>
    <w:p w:rsidR="005A76FB" w:rsidRDefault="005A76FB" w:rsidP="005A76FB">
      <w:pPr>
        <w:spacing w:before="0" w:after="0" w:line="441" w:lineRule="exact"/>
        <w:ind w:firstLine="0" w:left="228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境外开展仿制药研发，具备完整可评价的生物等效性数据的，也</w:t>
      </w:r>
    </w:p>
    <w:p w:rsidR="005A76FB" w:rsidRDefault="005A76FB" w:rsidP="005A76FB">
      <w:pPr>
        <w:spacing w:before="0" w:after="0" w:line="437" w:lineRule="exact"/>
        <w:ind w:firstLine="0" w:left="228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6"/>
          <w:w w:val="100"/>
        </w:rPr>
        <w:t>可用于注册申请。</w:t>
      </w:r>
    </w:p>
    <w:p w:rsidR="005A76FB" w:rsidRDefault="005A76FB" w:rsidP="005A76FB">
      <w:pPr>
        <w:spacing w:before="0" w:after="0" w:line="441" w:lineRule="exact"/>
        <w:ind w:firstLine="639" w:left="228"/>
        <w:jc w:val="left"/>
        <w:rPr/>
      </w:pPr>
      <w:r>
        <w:rPr>
          <w:rFonts w:ascii="黑体" w:hAnsi="黑体" w:cs="黑体"/>
          <w:u w:val="none"/>
          <w:sz w:val="32"/>
          <w:position w:val="0"/>
          <w:color w:val="000000"/>
          <w:noProof w:val="true"/>
          <w:spacing w:val="-7"/>
          <w:w w:val="100"/>
        </w:rPr>
        <w:t>二、接受境外临床试验数据的基本原则</w:t>
      </w:r>
    </w:p>
    <w:p w:rsidR="005A76FB" w:rsidRDefault="005A76FB" w:rsidP="005A76FB">
      <w:pPr>
        <w:spacing w:before="0" w:after="0" w:line="441" w:lineRule="exact"/>
        <w:ind w:firstLine="639" w:left="228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申请人应确保境外临床试验数据真实性、完整性、准确性和</w:t>
      </w:r>
    </w:p>
    <w:p w:rsidR="005A76FB" w:rsidRDefault="005A76FB" w:rsidP="005A76FB">
      <w:pPr>
        <w:spacing w:before="0" w:after="0" w:line="436" w:lineRule="exact"/>
        <w:ind w:firstLine="0" w:left="228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6"/>
          <w:w w:val="100"/>
        </w:rPr>
        <w:t>可溯源性。</w:t>
      </w:r>
    </w:p>
    <w:p w:rsidR="005A76FB" w:rsidRDefault="005A76FB" w:rsidP="005A76FB">
      <w:pPr>
        <w:spacing w:before="0" w:after="0" w:line="442" w:lineRule="exact"/>
        <w:ind w:firstLine="639" w:left="228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境外临床试验数据的产生过程，应符合人用药品注册技术国</w:t>
      </w:r>
    </w:p>
    <w:p w:rsidR="005A76FB" w:rsidRDefault="005A76FB" w:rsidP="005A76FB">
      <w:pPr>
        <w:spacing w:before="0" w:after="0" w:line="465" w:lineRule="exact"/>
        <w:ind w:firstLine="0" w:left="228"/>
        <w:jc w:val="left"/>
        <w:rPr/>
      </w:pPr>
      <w:r>
        <w:rPr>
          <w:rFonts w:ascii="仿宋" w:eastAsia="仿宋" w:hAnsi="仿宋" w:cs="仿宋"/>
          <w:u w:val="none"/>
          <w:sz w:val="32"/>
          <w:position w:val="2.40936279"/>
          <w:color w:val="000000"/>
          <w:noProof w:val="true"/>
          <w:spacing w:val="-13"/>
          <w:w w:val="100"/>
        </w:rPr>
        <w:t>际协调会议（</w:t>
      </w:r>
      <w:r>
        <w:rPr>
          <w:rFonts w:ascii="Times New Roman" w:hAnsi="Times New Roman" w:cs="Times New Roman"/>
          <w:u w:val="none"/>
          <w:sz w:val="32"/>
          <w:position w:val="0"/>
          <w:color w:val="000000"/>
          <w:noProof w:val="true"/>
          <w:spacing w:val="-7"/>
          <w:w w:val="100"/>
        </w:rPr>
        <w:t>ICH</w:t>
      </w:r>
      <w:r>
        <w:rPr>
          <w:rFonts w:ascii="仿宋" w:eastAsia="仿宋" w:hAnsi="仿宋" w:cs="仿宋"/>
          <w:u w:val="none"/>
          <w:sz w:val="32"/>
          <w:position w:val="2.40936279"/>
          <w:color w:val="000000"/>
          <w:noProof w:val="true"/>
          <w:spacing w:val="-14"/>
          <w:w w:val="100"/>
        </w:rPr>
        <w:t>）临床试验质量管理规范（</w:t>
      </w:r>
      <w:r>
        <w:rPr>
          <w:rFonts w:ascii="Times New Roman" w:hAnsi="Times New Roman" w:cs="Times New Roman"/>
          <w:u w:val="none"/>
          <w:sz w:val="32"/>
          <w:position w:val="0"/>
          <w:color w:val="000000"/>
          <w:noProof w:val="true"/>
          <w:spacing w:val="-7"/>
          <w:w w:val="100"/>
        </w:rPr>
        <w:t>GCP</w:t>
      </w:r>
      <w:r>
        <w:rPr>
          <w:rFonts w:ascii="仿宋" w:hAnsi="仿宋" w:cs="仿宋"/>
          <w:u w:val="none"/>
          <w:sz w:val="32"/>
          <w:position w:val="2.40936279"/>
          <w:color w:val="000000"/>
          <w:noProof w:val="true"/>
          <w:spacing w:val="-12"/>
          <w:w w:val="100"/>
        </w:rPr>
        <w:t>）的相关要求。</w:t>
      </w:r>
    </w:p>
    <w:p w:rsidR="005A76FB" w:rsidRDefault="005A76FB" w:rsidP="005A76FB">
      <w:pPr>
        <w:spacing w:before="0" w:after="0" w:line="412" w:lineRule="exact"/>
        <w:ind w:firstLine="639" w:left="228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申请人应确保境外临床试验设计科学，临床试验质量管理体</w:t>
      </w:r>
    </w:p>
    <w:p w:rsidR="005A76FB" w:rsidRDefault="005A76FB" w:rsidP="005A76FB">
      <w:pPr>
        <w:spacing w:before="0" w:after="0" w:line="442" w:lineRule="exact"/>
        <w:ind w:firstLine="0" w:left="228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6"/>
          <w:w w:val="100"/>
        </w:rPr>
        <w:t>系符合要求，数据统计分析准确、完整。</w:t>
      </w:r>
    </w:p>
    <w:p w:rsidR="005A76FB" w:rsidRDefault="005A76FB" w:rsidP="005A76FB">
      <w:pPr>
        <w:spacing w:before="0" w:after="0" w:line="441" w:lineRule="exact"/>
        <w:ind w:firstLine="639" w:left="228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为确保临床试验设计和数据统计分析科学合理，对于境内外</w:t>
      </w:r>
    </w:p>
    <w:p w:rsidR="005A76FB" w:rsidRDefault="005A76FB" w:rsidP="005A76FB">
      <w:pPr>
        <w:spacing w:before="0" w:after="0" w:line="436" w:lineRule="exact"/>
        <w:ind w:firstLine="0" w:left="228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同步研发的且将在中国开展临床试验的药物，申请人在实施关键</w:t>
      </w:r>
    </w:p>
    <w:p w:rsidR="005A76FB" w:rsidRDefault="005A76FB" w:rsidP="005A76FB">
      <w:pPr>
        <w:spacing w:before="0" w:after="0" w:line="441" w:lineRule="exact"/>
        <w:ind w:firstLine="0" w:left="228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临</w:t>
      </w: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2"/>
          <w:w w:val="100"/>
        </w:rPr>
        <w:t>床试验之</w:t>
      </w: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2"/>
          <w:w w:val="100"/>
        </w:rPr>
        <w:t>前，可</w:t>
      </w: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2"/>
          <w:w w:val="100"/>
        </w:rPr>
        <w:t>与国家食</w:t>
      </w: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2"/>
          <w:w w:val="100"/>
        </w:rPr>
        <w:t>品药品</w:t>
      </w: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2"/>
          <w:w w:val="100"/>
        </w:rPr>
        <w:t>监督管理</w:t>
      </w: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2"/>
          <w:w w:val="100"/>
        </w:rPr>
        <w:t>总局药</w:t>
      </w: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2"/>
          <w:w w:val="100"/>
        </w:rPr>
        <w:t>品审评中</w:t>
      </w: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心</w:t>
      </w:r>
    </w:p>
    <w:p w:rsidR="005A76FB" w:rsidRDefault="005A76FB" w:rsidP="005A76FB">
      <w:pPr>
        <w:spacing w:before="0" w:after="0" w:line="442" w:lineRule="exact"/>
        <w:ind w:firstLine="0" w:left="228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（以下简称药审中心）进行沟通，确保关键临床试验的设计符合</w:t>
      </w:r>
    </w:p>
    <w:p w:rsidR="005A76FB" w:rsidRDefault="005A76FB" w:rsidP="005A76FB">
      <w:pPr>
        <w:spacing w:before="0" w:after="0" w:line="436" w:lineRule="exact"/>
        <w:ind w:firstLine="0" w:left="228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7"/>
          <w:w w:val="100"/>
        </w:rPr>
        <w:t>中国药品注册的基本技术要求。</w:t>
      </w:r>
    </w:p>
    <w:p w:rsidR="005A76FB" w:rsidRDefault="005A76FB" w:rsidP="005A76FB">
      <w:pPr>
        <w:spacing w:before="0" w:after="0" w:line="441" w:lineRule="exact"/>
        <w:ind w:firstLine="639" w:left="228"/>
        <w:jc w:val="left"/>
        <w:rPr/>
      </w:pPr>
      <w:r>
        <w:rPr>
          <w:rFonts w:ascii="黑体" w:hAnsi="黑体" w:cs="黑体"/>
          <w:u w:val="none"/>
          <w:sz w:val="32"/>
          <w:position w:val="0"/>
          <w:color w:val="000000"/>
          <w:noProof w:val="true"/>
          <w:spacing w:val="-7"/>
          <w:w w:val="100"/>
        </w:rPr>
        <w:t>三、接受境外临床试验数据的完整性要求</w:t>
      </w:r>
    </w:p>
    <w:p w:rsidR="005A76FB" w:rsidRDefault="005A76FB" w:rsidP="005A76FB">
      <w:pPr>
        <w:spacing w:before="0" w:after="0" w:line="441" w:lineRule="exact"/>
        <w:ind w:firstLine="639" w:left="228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境外临床试验用于中国药品注册申请的，应提供境外所有临</w:t>
      </w:r>
    </w:p>
    <w:p w:rsidR="005A76FB" w:rsidRDefault="005A76FB" w:rsidP="005A76FB">
      <w:pPr>
        <w:spacing w:before="0" w:after="0" w:line="437" w:lineRule="exact"/>
        <w:ind w:firstLine="0" w:left="228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床试验数据，不得选择性提供临床试验数据。保证临床试验数据</w:t>
      </w:r>
    </w:p>
    <w:p w:rsidR="005A76FB" w:rsidRDefault="005A76FB" w:rsidP="005A76FB">
      <w:pPr>
        <w:spacing w:before="0" w:after="0" w:line="441" w:lineRule="exact"/>
        <w:ind w:firstLine="0" w:left="228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7"/>
          <w:w w:val="100"/>
        </w:rPr>
        <w:t>的完整性是接受注册申请的基本要求。</w:t>
      </w:r>
    </w:p>
    <w:p w:rsidR="005A76FB" w:rsidRDefault="005A76FB" w:rsidP="005A76FB">
      <w:pPr>
        <w:spacing w:before="0" w:after="0" w:lineRule="exact" w:line="240"/>
        <w:ind w:firstLine="0" w:left="228"/>
        <w:rPr/>
      </w:pPr>
    </w:p>
    <w:p w:rsidR="005A76FB" w:rsidRDefault="005A76FB" w:rsidP="005A76FB">
      <w:pPr>
        <w:spacing w:before="0" w:after="0" w:line="403" w:lineRule="exact"/>
        <w:ind w:firstLine="7580" w:left="228"/>
        <w:jc w:val="left"/>
        <w:rPr/>
      </w:pPr>
      <w:r>
        <w:rPr>
          <w:rFonts w:ascii="宋体" w:hAnsi="宋体" w:cs="宋体"/>
          <w:u w:val="none"/>
          <w:sz w:val="28"/>
          <w:position w:val="2.08569336"/>
          <w:color w:val="000000"/>
          <w:noProof w:val="true"/>
          <w:spacing w:val="-5"/>
          <w:w w:val="100"/>
        </w:rPr>
        <w:t>—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24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1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24"/>
        </w:rPr>
        <w:t> </w:t>
      </w:r>
      <w:r>
        <w:rPr>
          <w:rFonts w:ascii="宋体" w:hAnsi="宋体" w:cs="宋体"/>
          <w:u w:val="none"/>
          <w:sz w:val="28"/>
          <w:position w:val="2.08569336"/>
          <w:color w:val="000000"/>
          <w:noProof w:val="true"/>
          <w:spacing w:val="-5"/>
          <w:w w:val="100"/>
        </w:rPr>
        <w:t>—</w:t>
      </w:r>
      <w:r>
        <w:rPr>
          <w:rFonts w:ascii="宋体" w:hAnsi="宋体" w:cs="宋体"/>
          <w:u w:val="none"/>
          <w:sz w:val="28"/>
          <w:position w:val="2.08569336"/>
          <w:color w:val="ffffff"/>
          <w:noProof w:val="true"/>
          <w:spacing w:val="-5"/>
          <w:w w:val="100"/>
        </w:rPr>
        <w:t>—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39"/>
          <w:pgMar w:top="1433" w:right="943" w:bottom="1193" w:left="1303" w:header="0" w:footer="0" w:gutter="0"/>
          <w:cols w:num="1" w:equalWidth="0">
            <w:col w:w="9657" w:space="0"/>
          </w:cols>
          <w:docGrid w:type="lines" w:linePitch="312"/>
        </w:sectPr>
      </w:pPr>
    </w:p>
    <w:bookmarkStart w:id="2" w:name="2"/>
    <w:bookmarkEnd w:id="2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="410" w:lineRule="exact"/>
        <w:ind w:left="-1353" w:firstLine="2170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7"/>
          <w:w w:val="100"/>
        </w:rPr>
        <w:t>对于已有境外早期临床试验，后续在境内进行临床研发的，</w:t>
      </w:r>
    </w:p>
    <w:p w:rsidR="005A76FB" w:rsidRDefault="005A76FB" w:rsidP="005A76FB">
      <w:pPr>
        <w:spacing w:before="0" w:after="0" w:line="437" w:lineRule="exact"/>
        <w:ind w:firstLine="1531" w:left="-1353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药品注册申请人应对早期临床试验数据进行评价，具备完整临床</w:t>
      </w:r>
    </w:p>
    <w:p w:rsidR="005A76FB" w:rsidRDefault="005A76FB" w:rsidP="005A76FB">
      <w:pPr>
        <w:spacing w:before="0" w:after="0" w:line="441" w:lineRule="exact"/>
        <w:ind w:firstLine="1531" w:left="-1353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试验数据的，经与药审中心沟通交流后，可用于支持后续临床试</w:t>
      </w:r>
    </w:p>
    <w:p w:rsidR="005A76FB" w:rsidRDefault="005A76FB" w:rsidP="005A76FB">
      <w:pPr>
        <w:spacing w:before="0" w:after="0" w:line="441" w:lineRule="exact"/>
        <w:ind w:firstLine="1531" w:left="-1353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验。</w:t>
      </w:r>
    </w:p>
    <w:p w:rsidR="005A76FB" w:rsidRDefault="005A76FB" w:rsidP="005A76FB">
      <w:pPr>
        <w:spacing w:before="0" w:after="0" w:line="436" w:lineRule="exact"/>
        <w:ind w:firstLine="2170" w:left="-1353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对于所有临床试验已在境外完成尚未上市的，应提供完整的</w:t>
      </w:r>
    </w:p>
    <w:p w:rsidR="005A76FB" w:rsidRDefault="005A76FB" w:rsidP="005A76FB">
      <w:pPr>
        <w:spacing w:before="0" w:after="0" w:line="442" w:lineRule="exact"/>
        <w:ind w:firstLine="1531" w:left="-1353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境外临床试验数据包；已上市的，还应提供安全性、有效性更新</w:t>
      </w:r>
    </w:p>
    <w:p w:rsidR="005A76FB" w:rsidRDefault="005A76FB" w:rsidP="005A76FB">
      <w:pPr>
        <w:spacing w:before="0" w:after="0" w:line="441" w:lineRule="exact"/>
        <w:ind w:firstLine="1531" w:left="-1353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7"/>
          <w:w w:val="100"/>
        </w:rPr>
        <w:t>数据，方可用于在中国的注册申请。</w:t>
      </w:r>
    </w:p>
    <w:p w:rsidR="005A76FB" w:rsidRDefault="005A76FB" w:rsidP="005A76FB">
      <w:pPr>
        <w:spacing w:before="0" w:after="0" w:line="436" w:lineRule="exact"/>
        <w:ind w:firstLine="2170" w:left="-1353"/>
        <w:jc w:val="left"/>
        <w:rPr/>
      </w:pPr>
      <w:r>
        <w:rPr>
          <w:rFonts w:ascii="黑体" w:hAnsi="黑体" w:cs="黑体"/>
          <w:u w:val="none"/>
          <w:sz w:val="32"/>
          <w:position w:val="0"/>
          <w:color w:val="000000"/>
          <w:noProof w:val="true"/>
          <w:spacing w:val="-7"/>
          <w:w w:val="100"/>
        </w:rPr>
        <w:t>四、境外临床试验数据的提交情况及基本技术要求</w:t>
      </w:r>
    </w:p>
    <w:p w:rsidR="005A76FB" w:rsidRDefault="005A76FB" w:rsidP="005A76FB">
      <w:pPr>
        <w:spacing w:before="0" w:after="0" w:line="442" w:lineRule="exact"/>
        <w:ind w:firstLine="2170" w:left="-1353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对于境内外同步临床研发的，提交药品注册申请时，应按照</w:t>
      </w:r>
    </w:p>
    <w:p w:rsidR="005A76FB" w:rsidRDefault="005A76FB" w:rsidP="005A76FB">
      <w:pPr>
        <w:spacing w:before="0" w:after="0" w:line="441" w:lineRule="exact"/>
        <w:ind w:firstLine="1531" w:left="-1353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《药品注册管理办法》的申报资料要求整理汇总境内外各类临床</w:t>
      </w:r>
    </w:p>
    <w:p w:rsidR="005A76FB" w:rsidRDefault="005A76FB" w:rsidP="005A76FB">
      <w:pPr>
        <w:spacing w:before="0" w:after="0" w:line="436" w:lineRule="exact"/>
        <w:ind w:firstLine="1531" w:left="-1353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试验，形成完整的临床试验数据包，方可用于在中国的药品注册</w:t>
      </w:r>
    </w:p>
    <w:p w:rsidR="005A76FB" w:rsidRDefault="005A76FB" w:rsidP="005A76FB">
      <w:pPr>
        <w:spacing w:before="0" w:after="0" w:line="441" w:lineRule="exact"/>
        <w:ind w:firstLine="1531" w:left="-1353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申请。</w:t>
      </w:r>
    </w:p>
    <w:p w:rsidR="005A76FB" w:rsidRDefault="005A76FB" w:rsidP="005A76FB">
      <w:pPr>
        <w:spacing w:before="0" w:after="0" w:line="442" w:lineRule="exact"/>
        <w:ind w:firstLine="2170" w:left="-1353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提交境外临床试验数据用于中国药品注册申请的资料，应包</w:t>
      </w:r>
    </w:p>
    <w:p w:rsidR="005A76FB" w:rsidRDefault="005A76FB" w:rsidP="005A76FB">
      <w:pPr>
        <w:spacing w:before="0" w:after="0" w:line="436" w:lineRule="exact"/>
        <w:ind w:firstLine="1531" w:left="-1353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括生物药剂学、临床药理学、有效性和安全性资料数据。鼓励药</w:t>
      </w:r>
    </w:p>
    <w:p w:rsidR="005A76FB" w:rsidRDefault="005A76FB" w:rsidP="005A76FB">
      <w:pPr>
        <w:spacing w:before="0" w:after="0" w:line="465" w:lineRule="exact"/>
        <w:ind w:firstLine="1531" w:left="-1353"/>
        <w:jc w:val="left"/>
        <w:rPr/>
      </w:pPr>
      <w:r>
        <w:rPr>
          <w:rFonts w:ascii="仿宋" w:eastAsia="仿宋" w:hAnsi="仿宋" w:cs="仿宋"/>
          <w:u w:val="none"/>
          <w:sz w:val="32"/>
          <w:position w:val="2.40936279"/>
          <w:color w:val="000000"/>
          <w:noProof w:val="true"/>
          <w:spacing w:val="-7"/>
          <w:w w:val="100"/>
        </w:rPr>
        <w:t>品注册申请人采用通用技术文件格式（</w:t>
      </w:r>
      <w:r>
        <w:rPr>
          <w:rFonts w:ascii="Times New Roman" w:hAnsi="Times New Roman" w:cs="Times New Roman"/>
          <w:u w:val="none"/>
          <w:sz w:val="32"/>
          <w:position w:val="0"/>
          <w:color w:val="000000"/>
          <w:noProof w:val="true"/>
          <w:spacing w:val="-7"/>
          <w:w w:val="100"/>
        </w:rPr>
        <w:t>CTD</w:t>
      </w:r>
      <w:r>
        <w:rPr>
          <w:rFonts w:ascii="仿宋" w:hAnsi="仿宋" w:cs="仿宋"/>
          <w:u w:val="none"/>
          <w:sz w:val="32"/>
          <w:position w:val="2.40936279"/>
          <w:color w:val="000000"/>
          <w:noProof w:val="true"/>
          <w:spacing w:val="-5"/>
          <w:w w:val="100"/>
        </w:rPr>
        <w:t>）提交。</w:t>
      </w:r>
    </w:p>
    <w:p w:rsidR="005A76FB" w:rsidRDefault="005A76FB" w:rsidP="005A76FB">
      <w:pPr>
        <w:spacing w:before="0" w:after="0" w:line="417" w:lineRule="exact"/>
        <w:ind w:firstLine="2170" w:left="-1353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生物药剂学数据，应提供生物利用度和生物等效性相关的重</w:t>
      </w:r>
    </w:p>
    <w:p w:rsidR="005A76FB" w:rsidRDefault="005A76FB" w:rsidP="005A76FB">
      <w:pPr>
        <w:spacing w:before="0" w:after="0" w:line="437" w:lineRule="exact"/>
        <w:ind w:firstLine="1531" w:left="-1353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要体外或体内数据和结果，为剂型确定和临床研发过程中制剂工</w:t>
      </w:r>
    </w:p>
    <w:p w:rsidR="005A76FB" w:rsidRDefault="005A76FB" w:rsidP="005A76FB">
      <w:pPr>
        <w:spacing w:before="0" w:after="0" w:line="441" w:lineRule="exact"/>
        <w:ind w:firstLine="1531" w:left="-1353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7"/>
          <w:w w:val="100"/>
        </w:rPr>
        <w:t>艺优化提供支持依据和数据衔接。</w:t>
      </w:r>
    </w:p>
    <w:p w:rsidR="005A76FB" w:rsidRDefault="005A76FB" w:rsidP="005A76FB">
      <w:pPr>
        <w:spacing w:before="0" w:after="0" w:line="441" w:lineRule="exact"/>
        <w:ind w:firstLine="2170" w:left="-1353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7"/>
          <w:w w:val="100"/>
        </w:rPr>
        <w:t>临床药理学数据，主要包括药代动力学和药效学研究数据。</w:t>
      </w:r>
    </w:p>
    <w:p w:rsidR="005A76FB" w:rsidRDefault="005A76FB" w:rsidP="005A76FB">
      <w:pPr>
        <w:spacing w:before="0" w:after="0" w:line="437" w:lineRule="exact"/>
        <w:ind w:firstLine="1531" w:left="-1353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7"/>
          <w:w w:val="100"/>
        </w:rPr>
        <w:t>药品注册申请人应从区域和人种等多角度进行种族敏感性分析，</w:t>
      </w:r>
    </w:p>
    <w:p w:rsidR="005A76FB" w:rsidRDefault="005A76FB" w:rsidP="005A76FB">
      <w:pPr>
        <w:spacing w:before="0" w:after="0" w:line="441" w:lineRule="exact"/>
        <w:ind w:firstLine="1531" w:left="-1353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为境外临床试验数据适用于中国人群，及其有效性和安全性评价</w:t>
      </w:r>
    </w:p>
    <w:p w:rsidR="005A76FB" w:rsidRDefault="005A76FB" w:rsidP="005A76FB">
      <w:pPr>
        <w:spacing w:before="0" w:after="0" w:line="441" w:lineRule="exact"/>
        <w:ind w:firstLine="1531" w:left="-1353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6"/>
          <w:w w:val="100"/>
        </w:rPr>
        <w:t>提供支持。</w:t>
      </w:r>
    </w:p>
    <w:p w:rsidR="005A76FB" w:rsidRDefault="005A76FB" w:rsidP="005A76FB">
      <w:pPr>
        <w:spacing w:before="0" w:after="0" w:line="436" w:lineRule="exact"/>
        <w:ind w:firstLine="2170" w:left="-1353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有效性数据，主要包括境外关键临床试验数据和在中国开展</w:t>
      </w:r>
    </w:p>
    <w:p w:rsidR="005A76FB" w:rsidRDefault="005A76FB" w:rsidP="005A76FB">
      <w:pPr>
        <w:spacing w:before="0" w:after="0" w:line="442" w:lineRule="exact"/>
        <w:ind w:firstLine="1531" w:left="-1353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的临床试验数据，既要从整体上确证研究药物的有效性，还要分</w:t>
      </w:r>
    </w:p>
    <w:p w:rsidR="005A76FB" w:rsidRDefault="005A76FB" w:rsidP="005A76FB">
      <w:pPr>
        <w:spacing w:before="0" w:after="0" w:line="441" w:lineRule="exact"/>
        <w:ind w:firstLine="1531" w:left="-1353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7"/>
          <w:w w:val="100"/>
        </w:rPr>
        <w:t>析中国亚组与总体人群的一致性。</w:t>
      </w:r>
    </w:p>
    <w:p w:rsidR="005A76FB" w:rsidRDefault="005A76FB" w:rsidP="005A76FB">
      <w:pPr>
        <w:spacing w:before="0" w:after="0" w:line="436" w:lineRule="exact"/>
        <w:ind w:firstLine="2170" w:left="-1353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安全性数据，包括境内外所有的用于安全性评价的数据，既</w:t>
      </w:r>
    </w:p>
    <w:p w:rsidR="005A76FB" w:rsidRDefault="005A76FB" w:rsidP="005A76FB">
      <w:pPr>
        <w:spacing w:before="0" w:after="0" w:line="441" w:lineRule="exact"/>
        <w:ind w:firstLine="1531" w:left="-1353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7"/>
          <w:w w:val="100"/>
        </w:rPr>
        <w:t>要分析总体安全性，还要分析中国亚组与总体人群的一致性。</w:t>
      </w:r>
    </w:p>
    <w:p w:rsidR="005A76FB" w:rsidRDefault="005A76FB" w:rsidP="005A76FB">
      <w:pPr>
        <w:spacing w:before="0" w:after="0" w:line="442" w:lineRule="exact"/>
        <w:ind w:firstLine="2170" w:left="-1353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境外临床试验数据应支持有效性和安全性评价，药品注册申</w:t>
      </w:r>
    </w:p>
    <w:p w:rsidR="005A76FB" w:rsidRDefault="005A76FB" w:rsidP="005A76FB">
      <w:pPr>
        <w:spacing w:before="0" w:after="0" w:line="436" w:lineRule="exact"/>
        <w:ind w:firstLine="1531" w:left="-1353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请人应考虑符合中国药品注册管理要求，在对完整临床试验数据</w:t>
      </w:r>
    </w:p>
    <w:p w:rsidR="005A76FB" w:rsidRDefault="005A76FB" w:rsidP="005A76FB">
      <w:pPr>
        <w:spacing w:before="0" w:after="0" w:lineRule="exact" w:line="240"/>
        <w:ind w:firstLine="1531" w:left="-1353"/>
        <w:rPr/>
      </w:pPr>
    </w:p>
    <w:p w:rsidR="005A76FB" w:rsidRDefault="005A76FB" w:rsidP="005A76FB">
      <w:pPr>
        <w:sectPr w:rsidR="005A76FB" w:rsidSect="005A76FB">
          <w:type w:val="continuous"/>
          <w:pgSz w:w="11904" w:h="16838"/>
          <w:pgMar w:top="1433" w:right="994" w:bottom="1193" w:left="1354" w:header="0" w:footer="0" w:gutter="0"/>
        </w:sectPr>
        <w:spacing w:before="0" w:after="0" w:line="475" w:lineRule="exact"/>
        <w:ind w:firstLine="1531" w:left="-1353"/>
        <w:jc w:val="left"/>
        <w:rPr/>
      </w:pPr>
      <w:r>
        <w:rPr>
          <w:rFonts w:ascii="宋体" w:hAnsi="宋体" w:cs="宋体"/>
          <w:u w:val="none"/>
          <w:sz w:val="28"/>
          <w:position w:val="2.08569336"/>
          <w:color w:val="ffffff"/>
          <w:noProof w:val="true"/>
          <w:spacing w:val="-5"/>
          <w:w w:val="100"/>
        </w:rPr>
        <w:t>—</w:t>
      </w:r>
      <w:r>
        <w:rPr>
          <w:rFonts w:ascii="宋体" w:hAnsi="宋体" w:cs="宋体"/>
          <w:u w:val="none"/>
          <w:sz w:val="28"/>
          <w:position w:val="2.08569336"/>
          <w:color w:val="000000"/>
          <w:noProof w:val="true"/>
          <w:spacing w:val="-5"/>
          <w:w w:val="100"/>
        </w:rPr>
        <w:t>—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25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2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24"/>
        </w:rPr>
        <w:t> </w:t>
      </w:r>
      <w:r>
        <w:rPr>
          <w:rFonts w:ascii="宋体" w:hAnsi="宋体" w:cs="宋体"/>
          <w:u w:val="none"/>
          <w:sz w:val="28"/>
          <w:position w:val="2.08569336"/>
          <w:color w:val="000000"/>
          <w:noProof w:val="true"/>
          <w:spacing w:val="-5"/>
          <w:w w:val="100"/>
        </w:rPr>
        <w:t>—</w:t>
      </w:r>
    </w:p>
    <w:bookmarkStart w:id="3" w:name="3"/>
    <w:bookmarkEnd w:id="3"/>
    <w:p w:rsidR="005A76FB" w:rsidRDefault="005A76FB" w:rsidP="005A76FB">
      <w:pPr>
        <w:spacing w:before="0" w:after="0" w:lineRule="exact" w:line="240"/>
        <w:ind/>
        <w:rPr/>
      </w:pPr>
    </w:p>
    <w:p w:rsidR="005A76FB" w:rsidRDefault="005A76FB" w:rsidP="005A76FB">
      <w:pPr>
        <w:spacing w:before="0" w:after="0" w:lineRule="exact" w:line="329"/>
        <w:ind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39"/>
          <w:pgMar w:top="1433" w:right="994" w:bottom="1193" w:left="1354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21" w:lineRule="exact"/>
        <w:ind w:left="177" w:firstLine="0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包分析的基础上，对关键临床试验数据进行评价，以确证研究药</w:t>
      </w:r>
    </w:p>
    <w:p w:rsidR="005A76FB" w:rsidRDefault="005A76FB" w:rsidP="005A76FB">
      <w:pPr>
        <w:spacing w:before="0" w:after="0" w:line="461" w:lineRule="exact"/>
        <w:ind w:firstLine="0" w:left="177"/>
        <w:jc w:val="left"/>
        <w:rPr/>
      </w:pPr>
      <w:r>
        <w:rPr>
          <w:rFonts w:ascii="仿宋" w:eastAsia="仿宋" w:hAnsi="仿宋" w:cs="仿宋"/>
          <w:u w:val="none"/>
          <w:sz w:val="32"/>
          <w:position w:val="2.40936279"/>
          <w:color w:val="000000"/>
          <w:noProof w:val="true"/>
          <w:spacing w:val="-6"/>
          <w:w w:val="100"/>
        </w:rPr>
        <w:t>物的有效性；遵循</w:t>
      </w:r>
      <w:r>
        <w:rPr>
          <w:rFonts w:ascii="Calibri" w:hAnsi="Calibri" w:cs="Calibri"/>
          <w:u w:val="none"/>
          <w:sz w:val="32"/>
          <w:color w:val="000000"/>
          <w:noProof w:val="true"/>
          <w:spacing w:val="0"/>
          <w:w w:val="210"/>
        </w:rPr>
        <w:t> </w:t>
      </w:r>
      <w:r>
        <w:rPr>
          <w:rFonts w:ascii="Times New Roman" w:hAnsi="Times New Roman" w:cs="Times New Roman"/>
          <w:u w:val="none"/>
          <w:sz w:val="32"/>
          <w:position w:val="0"/>
          <w:color w:val="000000"/>
          <w:noProof w:val="true"/>
          <w:spacing w:val="-6"/>
          <w:w w:val="100"/>
        </w:rPr>
        <w:t>ICH</w:t>
      </w:r>
      <w:r>
        <w:rPr>
          <w:rFonts w:ascii="Calibri" w:hAnsi="Calibri" w:cs="Calibri"/>
          <w:u w:val="none"/>
          <w:sz w:val="32"/>
          <w:color w:val="000000"/>
          <w:noProof w:val="true"/>
          <w:spacing w:val="0"/>
          <w:w w:val="192"/>
        </w:rPr>
        <w:t> </w:t>
      </w:r>
      <w:r>
        <w:rPr>
          <w:rFonts w:ascii="仿宋" w:eastAsia="仿宋" w:hAnsi="仿宋" w:cs="仿宋"/>
          <w:u w:val="none"/>
          <w:sz w:val="32"/>
          <w:position w:val="2.40936279"/>
          <w:color w:val="000000"/>
          <w:noProof w:val="true"/>
          <w:spacing w:val="-6"/>
          <w:w w:val="100"/>
        </w:rPr>
        <w:t>关于接受国外临床资料的种族影响因素</w:t>
      </w:r>
    </w:p>
    <w:p w:rsidR="005A76FB" w:rsidRDefault="005A76FB" w:rsidP="005A76FB">
      <w:pPr>
        <w:spacing w:before="0" w:after="0" w:line="441" w:lineRule="exact"/>
        <w:ind w:firstLine="0" w:left="177"/>
        <w:jc w:val="left"/>
        <w:rPr/>
      </w:pPr>
      <w:r>
        <w:rPr>
          <w:rFonts w:ascii="仿宋" w:eastAsia="仿宋" w:hAnsi="仿宋" w:cs="仿宋"/>
          <w:u w:val="none"/>
          <w:sz w:val="32"/>
          <w:position w:val="2.40936279"/>
          <w:color w:val="000000"/>
          <w:noProof w:val="true"/>
          <w:spacing w:val="-5"/>
          <w:w w:val="100"/>
        </w:rPr>
        <w:t>（</w:t>
      </w:r>
      <w:r>
        <w:rPr>
          <w:rFonts w:ascii="Times New Roman" w:hAnsi="Times New Roman" w:cs="Times New Roman"/>
          <w:u w:val="none"/>
          <w:sz w:val="32"/>
          <w:position w:val="0"/>
          <w:color w:val="000000"/>
          <w:noProof w:val="true"/>
          <w:spacing w:val="-4"/>
          <w:w w:val="100"/>
        </w:rPr>
        <w:t>E5</w:t>
      </w:r>
      <w:r>
        <w:rPr>
          <w:rFonts w:ascii="仿宋" w:eastAsia="仿宋" w:hAnsi="仿宋" w:cs="仿宋"/>
          <w:u w:val="none"/>
          <w:sz w:val="32"/>
          <w:position w:val="2.40936279"/>
          <w:color w:val="000000"/>
          <w:noProof w:val="true"/>
          <w:spacing w:val="-13"/>
          <w:w w:val="100"/>
        </w:rPr>
        <w:t>）要求，分析中国亚组与总体人群的一致性，以支持境外临</w:t>
      </w:r>
    </w:p>
    <w:p w:rsidR="005A76FB" w:rsidRDefault="005A76FB" w:rsidP="005A76FB">
      <w:pPr>
        <w:spacing w:before="0" w:after="0" w:line="417" w:lineRule="exact"/>
        <w:ind w:firstLine="0" w:left="177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6"/>
          <w:w w:val="100"/>
        </w:rPr>
        <w:t>床试验结果外推至中国人群。</w:t>
      </w:r>
    </w:p>
    <w:p w:rsidR="005A76FB" w:rsidRDefault="005A76FB" w:rsidP="005A76FB">
      <w:pPr>
        <w:spacing w:before="0" w:after="0" w:line="436" w:lineRule="exact"/>
        <w:ind w:firstLine="639" w:left="177"/>
        <w:jc w:val="left"/>
        <w:rPr/>
      </w:pPr>
      <w:r>
        <w:rPr>
          <w:rFonts w:ascii="黑体" w:hAnsi="黑体" w:cs="黑体"/>
          <w:u w:val="none"/>
          <w:sz w:val="32"/>
          <w:position w:val="0"/>
          <w:color w:val="000000"/>
          <w:noProof w:val="true"/>
          <w:spacing w:val="-7"/>
          <w:w w:val="100"/>
        </w:rPr>
        <w:t>五、境外临床试验数据的可接受性</w:t>
      </w:r>
    </w:p>
    <w:p w:rsidR="005A76FB" w:rsidRDefault="005A76FB" w:rsidP="005A76FB">
      <w:pPr>
        <w:spacing w:before="0" w:after="0" w:line="442" w:lineRule="exact"/>
        <w:ind w:firstLine="639" w:left="177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依据临床试验数据的质量，对临床试验数据接受分为完全接</w:t>
      </w:r>
    </w:p>
    <w:p w:rsidR="005A76FB" w:rsidRDefault="005A76FB" w:rsidP="005A76FB">
      <w:pPr>
        <w:spacing w:before="0" w:after="0" w:line="441" w:lineRule="exact"/>
        <w:ind w:firstLine="0" w:left="177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7"/>
          <w:w w:val="100"/>
        </w:rPr>
        <w:t>受、部分接受与不接受。</w:t>
      </w:r>
    </w:p>
    <w:p w:rsidR="005A76FB" w:rsidRDefault="005A76FB" w:rsidP="005A76FB">
      <w:pPr>
        <w:spacing w:before="0" w:after="0" w:line="460" w:lineRule="exact"/>
        <w:ind w:firstLine="639" w:left="177"/>
        <w:jc w:val="left"/>
        <w:rPr/>
      </w:pPr>
      <w:r>
        <w:rPr>
          <w:rFonts w:ascii="仿宋" w:hAnsi="仿宋" w:cs="仿宋"/>
          <w:u w:val="none"/>
          <w:sz w:val="32"/>
          <w:position w:val="2.40936279"/>
          <w:color w:val="000000"/>
          <w:noProof w:val="true"/>
          <w:spacing w:val="-7"/>
          <w:w w:val="100"/>
        </w:rPr>
        <w:t>完全接受。境外临床试验数据真实可靠，符合</w:t>
      </w:r>
      <w:r>
        <w:rPr>
          <w:rFonts w:ascii="Calibri" w:hAnsi="Calibri" w:cs="Calibri"/>
          <w:u w:val="none"/>
          <w:sz w:val="32"/>
          <w:color w:val="000000"/>
          <w:noProof w:val="true"/>
          <w:spacing w:val="0"/>
          <w:w w:val="225"/>
        </w:rPr>
        <w:t> </w:t>
      </w:r>
      <w:r>
        <w:rPr>
          <w:rFonts w:ascii="Times New Roman" w:hAnsi="Times New Roman" w:cs="Times New Roman"/>
          <w:u w:val="none"/>
          <w:sz w:val="32"/>
          <w:position w:val="0"/>
          <w:color w:val="000000"/>
          <w:noProof w:val="true"/>
          <w:spacing w:val="-6"/>
          <w:w w:val="100"/>
        </w:rPr>
        <w:t>ICH</w:t>
      </w:r>
      <w:r>
        <w:rPr>
          <w:rFonts w:ascii="Calibri" w:hAnsi="Calibri" w:cs="Calibri"/>
          <w:u w:val="none"/>
          <w:sz w:val="32"/>
          <w:color w:val="000000"/>
          <w:noProof w:val="true"/>
          <w:spacing w:val="5"/>
          <w:w w:val="100"/>
        </w:rPr>
        <w:t> </w:t>
      </w:r>
      <w:r>
        <w:rPr>
          <w:rFonts w:ascii="Times New Roman" w:hAnsi="Times New Roman" w:cs="Times New Roman"/>
          <w:u w:val="none"/>
          <w:sz w:val="32"/>
          <w:position w:val="0"/>
          <w:color w:val="000000"/>
          <w:noProof w:val="true"/>
          <w:spacing w:val="-5"/>
          <w:w w:val="100"/>
        </w:rPr>
        <w:t>GCP</w:t>
      </w:r>
      <w:r>
        <w:rPr>
          <w:rFonts w:ascii="Calibri" w:hAnsi="Calibri" w:cs="Calibri"/>
          <w:u w:val="none"/>
          <w:sz w:val="32"/>
          <w:color w:val="000000"/>
          <w:noProof w:val="true"/>
          <w:spacing w:val="6"/>
          <w:w w:val="100"/>
        </w:rPr>
        <w:t> </w:t>
      </w:r>
      <w:r>
        <w:rPr>
          <w:rFonts w:ascii="仿宋" w:eastAsia="仿宋" w:hAnsi="仿宋" w:cs="仿宋"/>
          <w:u w:val="none"/>
          <w:sz w:val="32"/>
          <w:position w:val="2.40936279"/>
          <w:color w:val="000000"/>
          <w:noProof w:val="true"/>
          <w:spacing w:val="-5"/>
          <w:w w:val="100"/>
        </w:rPr>
        <w:t>和</w:t>
      </w:r>
    </w:p>
    <w:p w:rsidR="005A76FB" w:rsidRDefault="005A76FB" w:rsidP="005A76FB">
      <w:pPr>
        <w:spacing w:before="0" w:after="0" w:line="418" w:lineRule="exact"/>
        <w:ind w:firstLine="0" w:left="177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药品注册检查要求；境外临床研究数据支持目标适应症的有效性</w:t>
      </w:r>
    </w:p>
    <w:p w:rsidR="005A76FB" w:rsidRDefault="005A76FB" w:rsidP="005A76FB">
      <w:pPr>
        <w:spacing w:before="0" w:after="0" w:line="441" w:lineRule="exact"/>
        <w:ind w:firstLine="0" w:left="177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7"/>
          <w:w w:val="100"/>
        </w:rPr>
        <w:t>和安全性评价；不存在影响有效性和安全性的种族敏感性因素。</w:t>
      </w:r>
    </w:p>
    <w:p w:rsidR="005A76FB" w:rsidRDefault="005A76FB" w:rsidP="005A76FB">
      <w:pPr>
        <w:spacing w:before="0" w:after="0" w:line="460" w:lineRule="exact"/>
        <w:ind w:firstLine="639" w:left="177"/>
        <w:jc w:val="left"/>
        <w:rPr/>
      </w:pPr>
      <w:r>
        <w:rPr>
          <w:rFonts w:ascii="仿宋" w:hAnsi="仿宋" w:cs="仿宋"/>
          <w:u w:val="none"/>
          <w:sz w:val="32"/>
          <w:position w:val="2.40936279"/>
          <w:color w:val="000000"/>
          <w:noProof w:val="true"/>
          <w:spacing w:val="-7"/>
          <w:w w:val="100"/>
        </w:rPr>
        <w:t>部分接受。境外临床试验数据真实可靠，符合</w:t>
      </w:r>
      <w:r>
        <w:rPr>
          <w:rFonts w:ascii="Calibri" w:hAnsi="Calibri" w:cs="Calibri"/>
          <w:u w:val="none"/>
          <w:sz w:val="32"/>
          <w:color w:val="000000"/>
          <w:noProof w:val="true"/>
          <w:spacing w:val="13"/>
          <w:w w:val="100"/>
        </w:rPr>
        <w:t> </w:t>
      </w:r>
      <w:r>
        <w:rPr>
          <w:rFonts w:ascii="Times New Roman" w:hAnsi="Times New Roman" w:cs="Times New Roman"/>
          <w:u w:val="none"/>
          <w:sz w:val="32"/>
          <w:position w:val="0"/>
          <w:color w:val="000000"/>
          <w:noProof w:val="true"/>
          <w:spacing w:val="-6"/>
          <w:w w:val="100"/>
        </w:rPr>
        <w:t>ICH</w:t>
      </w:r>
      <w:r>
        <w:rPr>
          <w:rFonts w:ascii="Calibri" w:hAnsi="Calibri" w:cs="Calibri"/>
          <w:u w:val="none"/>
          <w:sz w:val="32"/>
          <w:color w:val="000000"/>
          <w:noProof w:val="true"/>
          <w:spacing w:val="0"/>
          <w:w w:val="205"/>
        </w:rPr>
        <w:t> </w:t>
      </w:r>
      <w:r>
        <w:rPr>
          <w:rFonts w:ascii="Times New Roman" w:hAnsi="Times New Roman" w:cs="Times New Roman"/>
          <w:u w:val="none"/>
          <w:sz w:val="32"/>
          <w:position w:val="0"/>
          <w:color w:val="000000"/>
          <w:noProof w:val="true"/>
          <w:spacing w:val="-5"/>
          <w:w w:val="100"/>
        </w:rPr>
        <w:t>GCP</w:t>
      </w:r>
      <w:r>
        <w:rPr>
          <w:rFonts w:ascii="Calibri" w:hAnsi="Calibri" w:cs="Calibri"/>
          <w:u w:val="none"/>
          <w:sz w:val="32"/>
          <w:color w:val="000000"/>
          <w:noProof w:val="true"/>
          <w:spacing w:val="2"/>
          <w:w w:val="100"/>
        </w:rPr>
        <w:t> </w:t>
      </w:r>
      <w:r>
        <w:rPr>
          <w:rFonts w:ascii="仿宋" w:eastAsia="仿宋" w:hAnsi="仿宋" w:cs="仿宋"/>
          <w:u w:val="none"/>
          <w:sz w:val="32"/>
          <w:position w:val="2.40936279"/>
          <w:color w:val="000000"/>
          <w:noProof w:val="true"/>
          <w:spacing w:val="-5"/>
          <w:w w:val="100"/>
        </w:rPr>
        <w:t>和</w:t>
      </w:r>
    </w:p>
    <w:p w:rsidR="005A76FB" w:rsidRDefault="005A76FB" w:rsidP="005A76FB">
      <w:pPr>
        <w:spacing w:before="0" w:after="0" w:line="417" w:lineRule="exact"/>
        <w:ind w:firstLine="0" w:left="177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药品注册检查要求；境外临床研究数据支持目标适应症的有效性</w:t>
      </w:r>
    </w:p>
    <w:p w:rsidR="005A76FB" w:rsidRDefault="005A76FB" w:rsidP="005A76FB">
      <w:pPr>
        <w:spacing w:before="0" w:after="0" w:line="466" w:lineRule="exact"/>
        <w:ind w:firstLine="0" w:left="177"/>
        <w:jc w:val="left"/>
        <w:rPr/>
      </w:pPr>
      <w:r>
        <w:rPr>
          <w:rFonts w:ascii="仿宋" w:eastAsia="仿宋" w:hAnsi="仿宋" w:cs="仿宋"/>
          <w:u w:val="none"/>
          <w:sz w:val="32"/>
          <w:position w:val="2.40936279"/>
          <w:color w:val="000000"/>
          <w:noProof w:val="true"/>
          <w:spacing w:val="-3"/>
          <w:w w:val="100"/>
        </w:rPr>
        <w:t>和安全性评价，但存在影响有效性和</w:t>
      </w:r>
      <w:r>
        <w:rPr>
          <w:rFonts w:ascii="Times New Roman" w:hAnsi="Times New Roman" w:cs="Times New Roman"/>
          <w:u w:val="none"/>
          <w:sz w:val="32"/>
          <w:position w:val="0"/>
          <w:color w:val="000000"/>
          <w:noProof w:val="true"/>
          <w:spacing w:val="-2"/>
          <w:w w:val="100"/>
        </w:rPr>
        <w:t>/</w:t>
      </w:r>
      <w:r>
        <w:rPr>
          <w:rFonts w:ascii="仿宋" w:eastAsia="仿宋" w:hAnsi="仿宋" w:cs="仿宋"/>
          <w:u w:val="none"/>
          <w:sz w:val="32"/>
          <w:position w:val="2.40936279"/>
          <w:color w:val="000000"/>
          <w:noProof w:val="true"/>
          <w:spacing w:val="-3"/>
          <w:w w:val="100"/>
        </w:rPr>
        <w:t>或安全性的种族敏感性因</w:t>
      </w:r>
    </w:p>
    <w:p w:rsidR="005A76FB" w:rsidRDefault="005A76FB" w:rsidP="005A76FB">
      <w:pPr>
        <w:spacing w:before="0" w:after="0" w:line="412" w:lineRule="exact"/>
        <w:ind w:firstLine="0" w:left="177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素。境外临床试验数据外推至中国人群的有效性和安全性评价存</w:t>
      </w:r>
    </w:p>
    <w:p w:rsidR="005A76FB" w:rsidRDefault="005A76FB" w:rsidP="005A76FB">
      <w:pPr>
        <w:spacing w:before="0" w:after="0" w:line="441" w:lineRule="exact"/>
        <w:ind w:firstLine="0" w:left="177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7"/>
          <w:w w:val="100"/>
        </w:rPr>
        <w:t>在较大的不确定性。药品注册申请人应根据影响因素分析情况，</w:t>
      </w:r>
    </w:p>
    <w:p w:rsidR="005A76FB" w:rsidRDefault="005A76FB" w:rsidP="005A76FB">
      <w:pPr>
        <w:spacing w:before="0" w:after="0" w:line="441" w:lineRule="exact"/>
        <w:ind w:firstLine="0" w:left="177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7"/>
          <w:w w:val="100"/>
        </w:rPr>
        <w:t>与药审中心进行沟通交流后，有针对性地开展相应临床试验。</w:t>
      </w:r>
    </w:p>
    <w:p w:rsidR="005A76FB" w:rsidRDefault="005A76FB" w:rsidP="005A76FB">
      <w:pPr>
        <w:spacing w:before="0" w:after="0" w:line="437" w:lineRule="exact"/>
        <w:ind w:firstLine="639" w:left="177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不接受。境外临床试验数据在真实性、完整性、准确性和可</w:t>
      </w:r>
    </w:p>
    <w:p w:rsidR="005A76FB" w:rsidRDefault="005A76FB" w:rsidP="005A76FB">
      <w:pPr>
        <w:spacing w:before="0" w:after="0" w:line="441" w:lineRule="exact"/>
        <w:ind w:firstLine="0" w:left="177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溯源性方面存在重大问题，境外临床试验数据不能充分支持目标</w:t>
      </w:r>
    </w:p>
    <w:p w:rsidR="005A76FB" w:rsidRDefault="005A76FB" w:rsidP="005A76FB">
      <w:pPr>
        <w:spacing w:before="0" w:after="0" w:line="441" w:lineRule="exact"/>
        <w:ind w:firstLine="0" w:left="177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适应症的有效性和安全性评价，药品注册申请人应按照创新药研</w:t>
      </w:r>
    </w:p>
    <w:p w:rsidR="005A76FB" w:rsidRDefault="005A76FB" w:rsidP="005A76FB">
      <w:pPr>
        <w:spacing w:before="0" w:after="0" w:line="437" w:lineRule="exact"/>
        <w:ind w:firstLine="0" w:left="177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发思路，在中国开展系统临床试验，以支持在中国的药品注册申</w:t>
      </w:r>
    </w:p>
    <w:p w:rsidR="005A76FB" w:rsidRDefault="005A76FB" w:rsidP="005A76FB">
      <w:pPr>
        <w:spacing w:before="0" w:after="0" w:line="441" w:lineRule="exact"/>
        <w:ind w:firstLine="0" w:left="177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5"/>
          <w:w w:val="100"/>
        </w:rPr>
        <w:t>请。</w:t>
      </w:r>
    </w:p>
    <w:p w:rsidR="005A76FB" w:rsidRDefault="005A76FB" w:rsidP="005A76FB">
      <w:pPr>
        <w:spacing w:before="0" w:after="0" w:line="441" w:lineRule="exact"/>
        <w:ind w:firstLine="639" w:left="177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对于用于危重疾病、罕见病、儿科且缺乏有效治疗手段的药</w:t>
      </w:r>
    </w:p>
    <w:p w:rsidR="005A76FB" w:rsidRDefault="005A76FB" w:rsidP="005A76FB">
      <w:pPr>
        <w:spacing w:before="0" w:after="0" w:line="460" w:lineRule="exact"/>
        <w:ind w:firstLine="0" w:left="177"/>
        <w:jc w:val="left"/>
        <w:rPr/>
      </w:pPr>
      <w:r>
        <w:rPr>
          <w:rFonts w:ascii="仿宋" w:eastAsia="仿宋" w:hAnsi="仿宋" w:cs="仿宋"/>
          <w:u w:val="none"/>
          <w:sz w:val="32"/>
          <w:position w:val="2.40930176"/>
          <w:color w:val="000000"/>
          <w:noProof w:val="true"/>
          <w:spacing w:val="-5"/>
          <w:w w:val="100"/>
        </w:rPr>
        <w:t>品</w:t>
      </w:r>
      <w:r>
        <w:rPr>
          <w:rFonts w:ascii="仿宋" w:eastAsia="仿宋" w:hAnsi="仿宋" w:cs="仿宋"/>
          <w:u w:val="none"/>
          <w:sz w:val="32"/>
          <w:position w:val="2.40930176"/>
          <w:color w:val="000000"/>
          <w:noProof w:val="true"/>
          <w:spacing w:val="-5"/>
          <w:w w:val="100"/>
        </w:rPr>
        <w:t>注</w:t>
      </w:r>
      <w:r>
        <w:rPr>
          <w:rFonts w:ascii="仿宋" w:eastAsia="仿宋" w:hAnsi="仿宋" w:cs="仿宋"/>
          <w:u w:val="none"/>
          <w:sz w:val="32"/>
          <w:position w:val="2.40930176"/>
          <w:color w:val="000000"/>
          <w:noProof w:val="true"/>
          <w:spacing w:val="-5"/>
          <w:w w:val="100"/>
        </w:rPr>
        <w:t>册</w:t>
      </w:r>
      <w:r>
        <w:rPr>
          <w:rFonts w:ascii="仿宋" w:eastAsia="仿宋" w:hAnsi="仿宋" w:cs="仿宋"/>
          <w:u w:val="none"/>
          <w:sz w:val="32"/>
          <w:position w:val="2.40930176"/>
          <w:color w:val="000000"/>
          <w:noProof w:val="true"/>
          <w:spacing w:val="-5"/>
          <w:w w:val="100"/>
        </w:rPr>
        <w:t>申</w:t>
      </w:r>
      <w:r>
        <w:rPr>
          <w:rFonts w:ascii="仿宋" w:eastAsia="仿宋" w:hAnsi="仿宋" w:cs="仿宋"/>
          <w:u w:val="none"/>
          <w:sz w:val="32"/>
          <w:position w:val="2.40930176"/>
          <w:color w:val="000000"/>
          <w:noProof w:val="true"/>
          <w:spacing w:val="-5"/>
          <w:w w:val="100"/>
        </w:rPr>
        <w:t>请</w:t>
      </w:r>
      <w:r>
        <w:rPr>
          <w:rFonts w:ascii="仿宋" w:eastAsia="仿宋" w:hAnsi="仿宋" w:cs="仿宋"/>
          <w:u w:val="none"/>
          <w:sz w:val="32"/>
          <w:position w:val="2.40930176"/>
          <w:color w:val="000000"/>
          <w:noProof w:val="true"/>
          <w:spacing w:val="-5"/>
          <w:w w:val="100"/>
        </w:rPr>
        <w:t>，</w:t>
      </w:r>
      <w:r>
        <w:rPr>
          <w:rFonts w:ascii="仿宋" w:eastAsia="仿宋" w:hAnsi="仿宋" w:cs="仿宋"/>
          <w:u w:val="none"/>
          <w:sz w:val="32"/>
          <w:position w:val="2.40930176"/>
          <w:color w:val="000000"/>
          <w:noProof w:val="true"/>
          <w:spacing w:val="-5"/>
          <w:w w:val="100"/>
        </w:rPr>
        <w:t>经</w:t>
      </w:r>
      <w:r>
        <w:rPr>
          <w:rFonts w:ascii="仿宋" w:eastAsia="仿宋" w:hAnsi="仿宋" w:cs="仿宋"/>
          <w:u w:val="none"/>
          <w:sz w:val="32"/>
          <w:position w:val="2.40930176"/>
          <w:color w:val="000000"/>
          <w:noProof w:val="true"/>
          <w:spacing w:val="-5"/>
          <w:w w:val="100"/>
        </w:rPr>
        <w:t>评</w:t>
      </w:r>
      <w:r>
        <w:rPr>
          <w:rFonts w:ascii="仿宋" w:eastAsia="仿宋" w:hAnsi="仿宋" w:cs="仿宋"/>
          <w:u w:val="none"/>
          <w:sz w:val="32"/>
          <w:position w:val="2.40930176"/>
          <w:color w:val="000000"/>
          <w:noProof w:val="true"/>
          <w:spacing w:val="-5"/>
          <w:w w:val="100"/>
        </w:rPr>
        <w:t>估</w:t>
      </w:r>
      <w:r>
        <w:rPr>
          <w:rFonts w:ascii="仿宋" w:eastAsia="仿宋" w:hAnsi="仿宋" w:cs="仿宋"/>
          <w:u w:val="none"/>
          <w:sz w:val="32"/>
          <w:position w:val="2.40930176"/>
          <w:color w:val="000000"/>
          <w:noProof w:val="true"/>
          <w:spacing w:val="-5"/>
          <w:w w:val="100"/>
        </w:rPr>
        <w:t>其</w:t>
      </w:r>
      <w:r>
        <w:rPr>
          <w:rFonts w:ascii="仿宋" w:eastAsia="仿宋" w:hAnsi="仿宋" w:cs="仿宋"/>
          <w:u w:val="none"/>
          <w:sz w:val="32"/>
          <w:position w:val="2.40930176"/>
          <w:color w:val="000000"/>
          <w:noProof w:val="true"/>
          <w:spacing w:val="-5"/>
          <w:w w:val="100"/>
        </w:rPr>
        <w:t>境</w:t>
      </w:r>
      <w:r>
        <w:rPr>
          <w:rFonts w:ascii="仿宋" w:eastAsia="仿宋" w:hAnsi="仿宋" w:cs="仿宋"/>
          <w:u w:val="none"/>
          <w:sz w:val="32"/>
          <w:position w:val="2.40930176"/>
          <w:color w:val="000000"/>
          <w:noProof w:val="true"/>
          <w:spacing w:val="-5"/>
          <w:w w:val="100"/>
        </w:rPr>
        <w:t>外</w:t>
      </w:r>
      <w:r>
        <w:rPr>
          <w:rFonts w:ascii="仿宋" w:eastAsia="仿宋" w:hAnsi="仿宋" w:cs="仿宋"/>
          <w:u w:val="none"/>
          <w:sz w:val="32"/>
          <w:position w:val="2.40930176"/>
          <w:color w:val="000000"/>
          <w:noProof w:val="true"/>
          <w:spacing w:val="-5"/>
          <w:w w:val="100"/>
        </w:rPr>
        <w:t>临</w:t>
      </w:r>
      <w:r>
        <w:rPr>
          <w:rFonts w:ascii="仿宋" w:eastAsia="仿宋" w:hAnsi="仿宋" w:cs="仿宋"/>
          <w:u w:val="none"/>
          <w:sz w:val="32"/>
          <w:position w:val="2.40930176"/>
          <w:color w:val="000000"/>
          <w:noProof w:val="true"/>
          <w:spacing w:val="-5"/>
          <w:w w:val="100"/>
        </w:rPr>
        <w:t>床</w:t>
      </w:r>
      <w:r>
        <w:rPr>
          <w:rFonts w:ascii="仿宋" w:eastAsia="仿宋" w:hAnsi="仿宋" w:cs="仿宋"/>
          <w:u w:val="none"/>
          <w:sz w:val="32"/>
          <w:position w:val="2.40930176"/>
          <w:color w:val="000000"/>
          <w:noProof w:val="true"/>
          <w:spacing w:val="-5"/>
          <w:w w:val="100"/>
        </w:rPr>
        <w:t>试</w:t>
      </w:r>
      <w:r>
        <w:rPr>
          <w:rFonts w:ascii="仿宋" w:eastAsia="仿宋" w:hAnsi="仿宋" w:cs="仿宋"/>
          <w:u w:val="none"/>
          <w:sz w:val="32"/>
          <w:position w:val="2.40930176"/>
          <w:color w:val="000000"/>
          <w:noProof w:val="true"/>
          <w:spacing w:val="-5"/>
          <w:w w:val="100"/>
        </w:rPr>
        <w:t>验</w:t>
      </w:r>
      <w:r>
        <w:rPr>
          <w:rFonts w:ascii="仿宋" w:eastAsia="仿宋" w:hAnsi="仿宋" w:cs="仿宋"/>
          <w:u w:val="none"/>
          <w:sz w:val="32"/>
          <w:position w:val="2.40930176"/>
          <w:color w:val="000000"/>
          <w:noProof w:val="true"/>
          <w:spacing w:val="-5"/>
          <w:w w:val="100"/>
        </w:rPr>
        <w:t>数</w:t>
      </w:r>
      <w:r>
        <w:rPr>
          <w:rFonts w:ascii="仿宋" w:eastAsia="仿宋" w:hAnsi="仿宋" w:cs="仿宋"/>
          <w:u w:val="none"/>
          <w:sz w:val="32"/>
          <w:position w:val="2.40930176"/>
          <w:color w:val="000000"/>
          <w:noProof w:val="true"/>
          <w:spacing w:val="-5"/>
          <w:w w:val="100"/>
        </w:rPr>
        <w:t>据</w:t>
      </w:r>
      <w:r>
        <w:rPr>
          <w:rFonts w:ascii="仿宋" w:eastAsia="仿宋" w:hAnsi="仿宋" w:cs="仿宋"/>
          <w:u w:val="none"/>
          <w:sz w:val="32"/>
          <w:position w:val="2.40930176"/>
          <w:color w:val="000000"/>
          <w:noProof w:val="true"/>
          <w:spacing w:val="-5"/>
          <w:w w:val="100"/>
        </w:rPr>
        <w:t>属</w:t>
      </w:r>
      <w:r>
        <w:rPr>
          <w:rFonts w:ascii="仿宋" w:eastAsia="仿宋" w:hAnsi="仿宋" w:cs="仿宋"/>
          <w:u w:val="none"/>
          <w:sz w:val="32"/>
          <w:position w:val="2.40930176"/>
          <w:color w:val="000000"/>
          <w:noProof w:val="true"/>
          <w:spacing w:val="-5"/>
          <w:w w:val="100"/>
        </w:rPr>
        <w:t>于</w:t>
      </w:r>
      <w:r>
        <w:rPr>
          <w:rFonts w:ascii="Times New Roman" w:hAnsi="Times New Roman" w:cs="Times New Roman"/>
          <w:u w:val="none"/>
          <w:sz w:val="32"/>
          <w:position w:val="0"/>
          <w:color w:val="000000"/>
          <w:noProof w:val="true"/>
          <w:spacing w:val="-3"/>
          <w:w w:val="100"/>
        </w:rPr>
        <w:t>“</w:t>
      </w:r>
      <w:r>
        <w:rPr>
          <w:rFonts w:ascii="仿宋" w:eastAsia="仿宋" w:hAnsi="仿宋" w:cs="仿宋"/>
          <w:u w:val="none"/>
          <w:sz w:val="32"/>
          <w:position w:val="2.40930176"/>
          <w:color w:val="000000"/>
          <w:noProof w:val="true"/>
          <w:spacing w:val="-5"/>
          <w:w w:val="100"/>
        </w:rPr>
        <w:t>部</w:t>
      </w:r>
      <w:r>
        <w:rPr>
          <w:rFonts w:ascii="仿宋" w:eastAsia="仿宋" w:hAnsi="仿宋" w:cs="仿宋"/>
          <w:u w:val="none"/>
          <w:sz w:val="32"/>
          <w:position w:val="2.40930176"/>
          <w:color w:val="000000"/>
          <w:noProof w:val="true"/>
          <w:spacing w:val="-5"/>
          <w:w w:val="100"/>
        </w:rPr>
        <w:t>分</w:t>
      </w:r>
      <w:r>
        <w:rPr>
          <w:rFonts w:ascii="仿宋" w:eastAsia="仿宋" w:hAnsi="仿宋" w:cs="仿宋"/>
          <w:u w:val="none"/>
          <w:sz w:val="32"/>
          <w:position w:val="2.40930176"/>
          <w:color w:val="000000"/>
          <w:noProof w:val="true"/>
          <w:spacing w:val="-5"/>
          <w:w w:val="100"/>
        </w:rPr>
        <w:t>接</w:t>
      </w:r>
      <w:r>
        <w:rPr>
          <w:rFonts w:ascii="仿宋" w:eastAsia="仿宋" w:hAnsi="仿宋" w:cs="仿宋"/>
          <w:u w:val="none"/>
          <w:sz w:val="32"/>
          <w:position w:val="2.40930176"/>
          <w:color w:val="000000"/>
          <w:noProof w:val="true"/>
          <w:spacing w:val="-5"/>
          <w:w w:val="100"/>
        </w:rPr>
        <w:t>受</w:t>
      </w:r>
      <w:r>
        <w:rPr>
          <w:rFonts w:ascii="Times New Roman" w:hAnsi="Times New Roman" w:cs="Times New Roman"/>
          <w:u w:val="none"/>
          <w:sz w:val="32"/>
          <w:position w:val="0"/>
          <w:color w:val="000000"/>
          <w:noProof w:val="true"/>
          <w:spacing w:val="-3"/>
          <w:w w:val="100"/>
        </w:rPr>
        <w:t>”</w:t>
      </w:r>
      <w:r>
        <w:rPr>
          <w:rFonts w:ascii="仿宋" w:eastAsia="仿宋" w:hAnsi="仿宋" w:cs="仿宋"/>
          <w:u w:val="none"/>
          <w:sz w:val="32"/>
          <w:position w:val="2.40930176"/>
          <w:color w:val="000000"/>
          <w:noProof w:val="true"/>
          <w:spacing w:val="-5"/>
          <w:w w:val="100"/>
        </w:rPr>
        <w:t>情</w:t>
      </w:r>
      <w:r>
        <w:rPr>
          <w:rFonts w:ascii="仿宋" w:eastAsia="仿宋" w:hAnsi="仿宋" w:cs="仿宋"/>
          <w:u w:val="none"/>
          <w:sz w:val="32"/>
          <w:position w:val="2.40930176"/>
          <w:color w:val="000000"/>
          <w:noProof w:val="true"/>
          <w:spacing w:val="-5"/>
          <w:w w:val="100"/>
        </w:rPr>
        <w:t>形</w:t>
      </w:r>
    </w:p>
    <w:p w:rsidR="005A76FB" w:rsidRDefault="005A76FB" w:rsidP="005A76FB">
      <w:pPr>
        <w:spacing w:before="0" w:after="0" w:line="417" w:lineRule="exact"/>
        <w:ind w:firstLine="0" w:left="177"/>
        <w:jc w:val="left"/>
        <w:rPr/>
      </w:pPr>
      <w:r>
        <w:rPr>
          <w:rFonts w:ascii="仿宋" w:eastAsia="仿宋" w:hAnsi="仿宋" w:cs="仿宋"/>
          <w:u w:val="none"/>
          <w:sz w:val="32"/>
          <w:position w:val="0"/>
          <w:color w:val="000000"/>
          <w:noProof w:val="true"/>
          <w:spacing w:val="-11"/>
          <w:w w:val="100"/>
        </w:rPr>
        <w:t>的，可采用有条件接受临床试验数据方式，在药品上市后收集进</w:t>
      </w:r>
    </w:p>
    <w:p w:rsidR="005A76FB" w:rsidRDefault="005A76FB" w:rsidP="005A76FB">
      <w:pPr>
        <w:spacing w:before="0" w:after="0" w:line="441" w:lineRule="exact"/>
        <w:ind w:firstLine="0" w:left="177"/>
        <w:jc w:val="left"/>
        <w:rPr/>
      </w:pPr>
      <w:r>
        <w:rPr>
          <w:rFonts w:ascii="仿宋" w:hAnsi="仿宋" w:cs="仿宋"/>
          <w:u w:val="none"/>
          <w:sz w:val="32"/>
          <w:position w:val="0"/>
          <w:color w:val="000000"/>
          <w:noProof w:val="true"/>
          <w:spacing w:val="-7"/>
          <w:w w:val="100"/>
        </w:rPr>
        <w:t>一步的有效性和安全性数据用于评价。</w:t>
      </w: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39"/>
          <w:pgMar w:top="1433" w:right="994" w:bottom="1193" w:left="1354" w:header="0" w:footer="0" w:gutter="0"/>
          <w:cols w:num="1" w:equalWidth="0">
            <w:col w:w="9555" w:space="0"/>
          </w:cols>
          <w:docGrid w:type="lines" w:linePitch="312"/>
        </w:sectPr>
      </w:pPr>
    </w:p>
    <w:p w:rsidR="005A76FB" w:rsidRDefault="005A76FB" w:rsidP="005A76FB">
      <w:pPr>
        <w:spacing w:before="0" w:after="0" w:lineRule="exact" w:line="240"/>
        <w:ind w:firstLine="0" w:left="177"/>
        <w:rPr/>
      </w:pPr>
    </w:p>
    <w:p w:rsidR="005A76FB" w:rsidRDefault="005A76FB" w:rsidP="005A76FB">
      <w:pPr>
        <w:spacing w:before="0" w:after="0" w:lineRule="exact" w:line="240"/>
        <w:ind w:firstLine="0" w:left="177"/>
        <w:rPr/>
      </w:pPr>
    </w:p>
    <w:p w:rsidR="005A76FB" w:rsidRDefault="005A76FB" w:rsidP="005A76FB">
      <w:pPr>
        <w:spacing w:before="0" w:after="0" w:lineRule="exact" w:line="240"/>
        <w:ind w:firstLine="0" w:left="177"/>
        <w:rPr/>
      </w:pPr>
    </w:p>
    <w:p w:rsidR="005A76FB" w:rsidRDefault="005A76FB" w:rsidP="005A76FB">
      <w:pPr>
        <w:spacing w:before="0" w:after="0" w:lineRule="exact" w:line="240"/>
        <w:ind w:firstLine="0" w:left="177"/>
        <w:rPr/>
      </w:pPr>
    </w:p>
    <w:p w:rsidR="005A76FB" w:rsidRDefault="005A76FB" w:rsidP="005A76FB">
      <w:pPr>
        <w:spacing w:before="0" w:after="0" w:lineRule="exact" w:line="240"/>
        <w:ind w:firstLine="0" w:left="177"/>
        <w:rPr/>
      </w:pPr>
    </w:p>
    <w:p w:rsidR="005A76FB" w:rsidRDefault="005A76FB" w:rsidP="005A76FB">
      <w:pPr>
        <w:spacing w:before="0" w:after="0" w:lineRule="exact" w:line="240"/>
        <w:ind w:firstLine="0" w:left="177"/>
        <w:rPr/>
      </w:pPr>
    </w:p>
    <w:p w:rsidR="005A76FB" w:rsidRDefault="005A76FB" w:rsidP="005A76FB">
      <w:pPr>
        <w:spacing w:before="0" w:after="0" w:lineRule="exact" w:line="240"/>
        <w:ind w:firstLine="0" w:left="177"/>
        <w:rPr/>
      </w:pPr>
    </w:p>
    <w:p w:rsidR="005A76FB" w:rsidRDefault="005A76FB" w:rsidP="005A76FB">
      <w:pPr>
        <w:spacing w:before="0" w:after="0" w:lineRule="exact" w:line="240"/>
        <w:ind w:firstLine="0" w:left="177"/>
        <w:rPr/>
      </w:pPr>
    </w:p>
    <w:p w:rsidR="005A76FB" w:rsidRDefault="005A76FB" w:rsidP="005A76FB">
      <w:pPr>
        <w:spacing w:before="0" w:after="0" w:lineRule="exact" w:line="242"/>
        <w:ind w:firstLine="0" w:left="177"/>
        <w:rPr/>
      </w:pPr>
    </w:p>
    <w:p w:rsidR="005A76FB" w:rsidRDefault="005A76FB" w:rsidP="005A76FB">
      <w:pPr>
        <w:widowControl/>
        <w:jc w:val="left"/>
        <w:rPr/>
        <w:sectPr w:rsidR="005A76FB" w:rsidSect="005A76FB">
          <w:type w:val="continuous"/>
          <w:pgSz w:w="11904" w:h="16839"/>
          <w:pgMar w:top="1433" w:right="994" w:bottom="1193" w:left="1354" w:header="0" w:footer="0" w:gutter="0"/>
          <w:docGrid w:type="lines" w:linePitch="312"/>
        </w:sectPr>
      </w:pPr>
    </w:p>
    <w:p w:rsidR="005A76FB" w:rsidRDefault="005A76FB" w:rsidP="005A76FB">
      <w:pPr>
        <w:spacing w:before="0" w:after="0" w:line="308" w:lineRule="exact"/>
        <w:ind w:firstLine="0" w:left="7757"/>
        <w:jc w:val="left"/>
        <w:rPr/>
      </w:pPr>
      <w:r>
        <w:rPr>
          <w:rFonts w:ascii="宋体" w:hAnsi="宋体" w:cs="宋体"/>
          <w:u w:val="none"/>
          <w:sz w:val="28"/>
          <w:position w:val="2.08569336"/>
          <w:color w:val="000000"/>
          <w:noProof w:val="true"/>
          <w:spacing w:val="-5"/>
          <w:w w:val="100"/>
        </w:rPr>
        <w:t>—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24"/>
        </w:rPr>
        <w:t> </w:t>
      </w:r>
      <w:r>
        <w:rPr>
          <w:rFonts w:ascii="Times New Roman" w:hAnsi="Times New Roman" w:cs="Times New Roman"/>
          <w:u w:val="none"/>
          <w:sz w:val="28"/>
          <w:position w:val="0"/>
          <w:color w:val="000000"/>
          <w:noProof w:val="true"/>
          <w:spacing w:val="-3"/>
          <w:w w:val="100"/>
        </w:rPr>
        <w:t>3</w:t>
      </w:r>
      <w:r>
        <w:rPr>
          <w:rFonts w:ascii="Calibri" w:hAnsi="Calibri" w:cs="Calibri"/>
          <w:u w:val="none"/>
          <w:sz w:val="28"/>
          <w:color w:val="000000"/>
          <w:noProof w:val="true"/>
          <w:spacing w:val="0"/>
          <w:w w:val="224"/>
        </w:rPr>
        <w:t> </w:t>
      </w:r>
      <w:r>
        <w:rPr>
          <w:rFonts w:ascii="宋体" w:hAnsi="宋体" w:cs="宋体"/>
          <w:u w:val="none"/>
          <w:sz w:val="28"/>
          <w:position w:val="2.08569336"/>
          <w:color w:val="000000"/>
          <w:noProof w:val="true"/>
          <w:spacing w:val="-5"/>
          <w:w w:val="100"/>
        </w:rPr>
        <w:t>—</w:t>
      </w:r>
      <w:r>
        <w:rPr>
          <w:rFonts w:ascii="宋体" w:hAnsi="宋体" w:cs="宋体"/>
          <w:u w:val="none"/>
          <w:sz w:val="28"/>
          <w:position w:val="2.08569336"/>
          <w:color w:val="ffffff"/>
          <w:noProof w:val="true"/>
          <w:spacing w:val="-5"/>
          <w:w w:val="100"/>
        </w:rPr>
        <w:t>—</w:t>
      </w:r>
    </w:p>
    <w:sectPr w:rsidR="005A76FB" w:rsidSect="005A76FB">
      <w:type w:val="continuous"/>
      <w:pgSz w:w="11904" w:h="16839"/>
      <w:pgMar w:top="1433" w:right="994" w:bottom="1193" w:left="1354" w:header="0" w:footer="0" w:gutter="0"/>
      <w:cols w:num="1" w:equalWidth="0">
        <w:col w:w="9555" w:space="0"/>
      </w:cols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325E2F"/>
    <w:rsid w:val="007F1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Default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 ?>
<Relationships xmlns="http://schemas.openxmlformats.org/package/2006/relationships">
    <Relationship Id="rId1" Type="http://schemas.openxmlformats.org/officeDocument/2006/relationships/styles" Target="styles.xml" />
    <Relationship Id="rId2" Type="http://schemas.openxmlformats.org/officeDocument/2006/relationships/settings" Target="settings.xml" />
    <Relationship Id="rId3" Type="http://schemas.openxmlformats.org/officeDocument/2006/relationships/webSettings" Target="webSettings.xml" />
    <Relationship Id="rId4" Type="http://schemas.openxmlformats.org/officeDocument/2006/relationships/fontTable" Target="fontTable.xml" />
    <Relationship Id="rId5" Type="http://schemas.openxmlformats.org/officeDocument/2006/relationships/theme" Target="theme/theme1.xml" />
    <Relationship Id="rId6" Type="http://schemas.openxmlformats.org/officeDocument/2006/relationships/image" Target="media/picture6.jpeg" />
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/>
  <DocSecurity>0</DocSecurity>
  <ScaleCrop>false</ScaleCrop>
  <Company/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</cp:coreProperties>
</file>